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691" w:rsidRDefault="00E05637" w:rsidP="00E05637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E05637">
        <w:rPr>
          <w:b/>
          <w:bCs/>
          <w:sz w:val="28"/>
          <w:szCs w:val="28"/>
        </w:rPr>
        <w:t xml:space="preserve">                                              </w:t>
      </w:r>
      <w:r w:rsidR="00151B1B">
        <w:rPr>
          <w:b/>
          <w:bCs/>
          <w:sz w:val="28"/>
          <w:szCs w:val="28"/>
        </w:rPr>
        <w:t xml:space="preserve">                               </w:t>
      </w:r>
    </w:p>
    <w:p w:rsidR="004146B0" w:rsidRDefault="004146B0" w:rsidP="004146B0">
      <w:pPr>
        <w:rPr>
          <w:b/>
          <w:bCs/>
          <w:sz w:val="28"/>
          <w:szCs w:val="28"/>
        </w:rPr>
      </w:pPr>
    </w:p>
    <w:p w:rsidR="004146B0" w:rsidRDefault="004146B0" w:rsidP="004146B0">
      <w:pPr>
        <w:rPr>
          <w:b/>
          <w:bCs/>
          <w:sz w:val="28"/>
          <w:szCs w:val="28"/>
        </w:rPr>
      </w:pPr>
      <w:r w:rsidRPr="00795A9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-351790</wp:posOffset>
            </wp:positionV>
            <wp:extent cx="590550" cy="698500"/>
            <wp:effectExtent l="19050" t="0" r="0" b="0"/>
            <wp:wrapSquare wrapText="bothSides"/>
            <wp:docPr id="1" name="Рисунок 1" descr="&amp;Ncy;&amp;acy;&amp;shcy; &amp;gcy;&amp;iecy;&amp;rcy;&amp;bcy;, &amp;gcy;&amp;ocy;&amp;scy;&amp;pcy;&amp;ocy;&amp;dcy;&amp;a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shcy; &amp;gcy;&amp;iecy;&amp;rcy;&amp;bcy;, &amp;gcy;&amp;ocy;&amp;scy;&amp;pcy;&amp;ocy;&amp;dcy;&amp;acy;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46B0" w:rsidRDefault="004146B0" w:rsidP="004146B0">
      <w:pPr>
        <w:rPr>
          <w:b/>
          <w:bCs/>
          <w:sz w:val="28"/>
          <w:szCs w:val="28"/>
        </w:rPr>
      </w:pPr>
    </w:p>
    <w:p w:rsidR="004146B0" w:rsidRPr="00526753" w:rsidRDefault="004146B0" w:rsidP="004146B0">
      <w:pPr>
        <w:rPr>
          <w:b/>
          <w:bCs/>
          <w:color w:val="FF0000"/>
          <w:sz w:val="28"/>
          <w:szCs w:val="28"/>
        </w:rPr>
      </w:pPr>
    </w:p>
    <w:p w:rsidR="004146B0" w:rsidRPr="00832CD8" w:rsidRDefault="004146B0" w:rsidP="004146B0">
      <w:pPr>
        <w:ind w:right="-261"/>
        <w:jc w:val="center"/>
        <w:rPr>
          <w:sz w:val="16"/>
          <w:szCs w:val="16"/>
        </w:rPr>
      </w:pPr>
    </w:p>
    <w:p w:rsidR="004146B0" w:rsidRPr="00AE6FFA" w:rsidRDefault="004146B0" w:rsidP="004146B0">
      <w:pPr>
        <w:jc w:val="center"/>
        <w:rPr>
          <w:b/>
          <w:bCs/>
          <w:sz w:val="28"/>
          <w:szCs w:val="28"/>
        </w:rPr>
      </w:pPr>
      <w:r w:rsidRPr="00AE6FFA">
        <w:rPr>
          <w:b/>
          <w:bCs/>
          <w:sz w:val="28"/>
          <w:szCs w:val="28"/>
        </w:rPr>
        <w:t xml:space="preserve">Контрольно-счетная  Палата   </w:t>
      </w:r>
      <w:proofErr w:type="spellStart"/>
      <w:r w:rsidRPr="00AE6FFA">
        <w:rPr>
          <w:b/>
          <w:bCs/>
          <w:sz w:val="28"/>
          <w:szCs w:val="28"/>
        </w:rPr>
        <w:t>Поддорского</w:t>
      </w:r>
      <w:proofErr w:type="spellEnd"/>
      <w:r w:rsidRPr="00AE6FFA">
        <w:rPr>
          <w:b/>
          <w:bCs/>
          <w:sz w:val="28"/>
          <w:szCs w:val="28"/>
        </w:rPr>
        <w:t xml:space="preserve"> муниципального района</w:t>
      </w:r>
    </w:p>
    <w:p w:rsidR="004146B0" w:rsidRDefault="004146B0" w:rsidP="004146B0">
      <w:r w:rsidRPr="00AE6FFA">
        <w:t xml:space="preserve">175260 Новгородская область, </w:t>
      </w:r>
      <w:proofErr w:type="spellStart"/>
      <w:r w:rsidRPr="00AE6FFA">
        <w:t>Поддорского</w:t>
      </w:r>
      <w:proofErr w:type="spellEnd"/>
      <w:r w:rsidRPr="00AE6FFA">
        <w:t xml:space="preserve"> района, село Поддорье, улица Октябрьская, дом 26                  </w:t>
      </w:r>
    </w:p>
    <w:p w:rsidR="004146B0" w:rsidRPr="00832CD8" w:rsidRDefault="004146B0" w:rsidP="004146B0">
      <w:pPr>
        <w:rPr>
          <w:sz w:val="18"/>
          <w:szCs w:val="18"/>
          <w:u w:val="single"/>
        </w:rPr>
      </w:pPr>
      <w:r w:rsidRPr="00832CD8">
        <w:rPr>
          <w:u w:val="single"/>
        </w:rPr>
        <w:t xml:space="preserve"> тел. 8 816 58 71-418, т/факс 71-418,</w:t>
      </w:r>
      <w:r>
        <w:rPr>
          <w:u w:val="single"/>
        </w:rPr>
        <w:t xml:space="preserve"> </w:t>
      </w:r>
      <w:r w:rsidRPr="00832CD8">
        <w:rPr>
          <w:u w:val="single"/>
          <w:lang w:val="en-US"/>
        </w:rPr>
        <w:t>E</w:t>
      </w:r>
      <w:r w:rsidRPr="00832CD8">
        <w:rPr>
          <w:u w:val="single"/>
        </w:rPr>
        <w:t xml:space="preserve">- </w:t>
      </w:r>
      <w:r w:rsidRPr="00832CD8">
        <w:rPr>
          <w:u w:val="single"/>
          <w:lang w:val="en-US"/>
        </w:rPr>
        <w:t>mail</w:t>
      </w:r>
      <w:r w:rsidRPr="00832CD8">
        <w:rPr>
          <w:u w:val="single"/>
        </w:rPr>
        <w:t xml:space="preserve">: </w:t>
      </w:r>
      <w:proofErr w:type="spellStart"/>
      <w:r w:rsidRPr="00832CD8">
        <w:rPr>
          <w:u w:val="single"/>
          <w:lang w:val="en-US"/>
        </w:rPr>
        <w:t>ksp</w:t>
      </w:r>
      <w:proofErr w:type="spellEnd"/>
      <w:r w:rsidRPr="00832CD8">
        <w:rPr>
          <w:u w:val="single"/>
        </w:rPr>
        <w:t>.</w:t>
      </w:r>
      <w:r w:rsidRPr="00832CD8">
        <w:rPr>
          <w:u w:val="single"/>
          <w:lang w:val="en-US"/>
        </w:rPr>
        <w:t>pod</w:t>
      </w:r>
      <w:r w:rsidRPr="00832CD8">
        <w:rPr>
          <w:u w:val="single"/>
        </w:rPr>
        <w:t>2012@</w:t>
      </w:r>
      <w:proofErr w:type="spellStart"/>
      <w:r w:rsidRPr="00832CD8">
        <w:rPr>
          <w:u w:val="single"/>
          <w:lang w:val="en-US"/>
        </w:rPr>
        <w:t>yandex</w:t>
      </w:r>
      <w:proofErr w:type="spellEnd"/>
      <w:r w:rsidRPr="00832CD8">
        <w:rPr>
          <w:u w:val="single"/>
        </w:rPr>
        <w:t>.</w:t>
      </w:r>
      <w:proofErr w:type="spellStart"/>
      <w:r w:rsidRPr="00832CD8">
        <w:rPr>
          <w:u w:val="single"/>
          <w:lang w:val="en-US"/>
        </w:rPr>
        <w:t>ru</w:t>
      </w:r>
      <w:proofErr w:type="spellEnd"/>
      <w:r w:rsidRPr="00832CD8">
        <w:rPr>
          <w:b/>
          <w:u w:val="single"/>
        </w:rPr>
        <w:t>__________________</w:t>
      </w:r>
    </w:p>
    <w:p w:rsidR="004146B0" w:rsidRPr="00832CD8" w:rsidRDefault="004146B0" w:rsidP="004146B0">
      <w:pPr>
        <w:tabs>
          <w:tab w:val="num" w:pos="0"/>
        </w:tabs>
        <w:ind w:firstLine="720"/>
        <w:jc w:val="center"/>
        <w:rPr>
          <w:bCs/>
        </w:rPr>
      </w:pPr>
    </w:p>
    <w:p w:rsidR="004146B0" w:rsidRDefault="004146B0" w:rsidP="004146B0">
      <w:pPr>
        <w:tabs>
          <w:tab w:val="num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  <w:r w:rsidR="00031C2B">
        <w:rPr>
          <w:b/>
          <w:bCs/>
          <w:sz w:val="28"/>
          <w:szCs w:val="28"/>
        </w:rPr>
        <w:t xml:space="preserve"> № 2</w:t>
      </w:r>
    </w:p>
    <w:p w:rsidR="004146B0" w:rsidRPr="000649C6" w:rsidRDefault="004146B0" w:rsidP="004146B0">
      <w:pPr>
        <w:tabs>
          <w:tab w:val="num" w:pos="0"/>
        </w:tabs>
        <w:jc w:val="center"/>
        <w:rPr>
          <w:b/>
          <w:bCs/>
          <w:sz w:val="28"/>
          <w:szCs w:val="28"/>
        </w:rPr>
      </w:pPr>
    </w:p>
    <w:p w:rsidR="004146B0" w:rsidRDefault="004146B0" w:rsidP="004146B0">
      <w:pPr>
        <w:tabs>
          <w:tab w:val="num" w:pos="0"/>
        </w:tabs>
        <w:jc w:val="both"/>
        <w:rPr>
          <w:b/>
          <w:bCs/>
          <w:sz w:val="28"/>
          <w:szCs w:val="28"/>
        </w:rPr>
      </w:pPr>
      <w:r w:rsidRPr="00E05637">
        <w:rPr>
          <w:b/>
          <w:bCs/>
          <w:sz w:val="28"/>
          <w:szCs w:val="28"/>
        </w:rPr>
        <w:t xml:space="preserve">от </w:t>
      </w:r>
      <w:r w:rsidR="00C44576">
        <w:rPr>
          <w:b/>
          <w:bCs/>
          <w:sz w:val="28"/>
          <w:szCs w:val="28"/>
        </w:rPr>
        <w:t>24.10.2022</w:t>
      </w:r>
      <w:r w:rsidRPr="00E05637">
        <w:rPr>
          <w:b/>
          <w:bCs/>
          <w:sz w:val="28"/>
          <w:szCs w:val="28"/>
        </w:rPr>
        <w:t xml:space="preserve"> года                                                                                     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4146B0" w:rsidRPr="00E05637" w:rsidTr="006826D6">
        <w:trPr>
          <w:trHeight w:val="644"/>
        </w:trPr>
        <w:tc>
          <w:tcPr>
            <w:tcW w:w="4928" w:type="dxa"/>
          </w:tcPr>
          <w:p w:rsidR="00E83683" w:rsidRDefault="00E83683" w:rsidP="00E83683">
            <w:pPr>
              <w:tabs>
                <w:tab w:val="num" w:pos="0"/>
              </w:tabs>
              <w:jc w:val="center"/>
              <w:rPr>
                <w:color w:val="000000"/>
                <w:sz w:val="28"/>
              </w:rPr>
            </w:pPr>
            <w:r>
              <w:rPr>
                <w:bCs/>
                <w:sz w:val="28"/>
                <w:szCs w:val="28"/>
              </w:rPr>
              <w:t>Директору</w:t>
            </w:r>
          </w:p>
          <w:p w:rsidR="004146B0" w:rsidRDefault="00E83683" w:rsidP="00E83683">
            <w:pPr>
              <w:tabs>
                <w:tab w:val="num" w:pos="0"/>
              </w:tabs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Муниципального бюджетного учреждения «Центр обслуживания учреждений культуры </w:t>
            </w:r>
            <w:proofErr w:type="spellStart"/>
            <w:r>
              <w:rPr>
                <w:color w:val="000000"/>
                <w:sz w:val="28"/>
              </w:rPr>
              <w:t>Поддорского</w:t>
            </w:r>
            <w:proofErr w:type="spellEnd"/>
            <w:r>
              <w:rPr>
                <w:color w:val="000000"/>
                <w:sz w:val="28"/>
              </w:rPr>
              <w:t xml:space="preserve"> муниципального района»</w:t>
            </w:r>
          </w:p>
          <w:p w:rsidR="00E83683" w:rsidRPr="00E05637" w:rsidRDefault="00E83683" w:rsidP="00E83683">
            <w:pPr>
              <w:tabs>
                <w:tab w:val="num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</w:rPr>
              <w:t>Кирилловой О.А.</w:t>
            </w:r>
          </w:p>
        </w:tc>
      </w:tr>
    </w:tbl>
    <w:p w:rsidR="004146B0" w:rsidRPr="00842375" w:rsidRDefault="004146B0" w:rsidP="004146B0">
      <w:pPr>
        <w:pStyle w:val="4"/>
        <w:ind w:firstLine="720"/>
        <w:jc w:val="both"/>
        <w:rPr>
          <w:b w:val="0"/>
        </w:rPr>
      </w:pPr>
      <w:proofErr w:type="gramStart"/>
      <w:r w:rsidRPr="00805749">
        <w:rPr>
          <w:b w:val="0"/>
        </w:rPr>
        <w:t>В соответствии</w:t>
      </w:r>
      <w:r w:rsidRPr="008012BD">
        <w:rPr>
          <w:b w:val="0"/>
        </w:rPr>
        <w:t xml:space="preserve"> </w:t>
      </w:r>
      <w:r>
        <w:rPr>
          <w:b w:val="0"/>
        </w:rPr>
        <w:t xml:space="preserve">с </w:t>
      </w:r>
      <w:r w:rsidRPr="004146B0">
        <w:rPr>
          <w:b w:val="0"/>
        </w:rPr>
        <w:t>пункт 3.</w:t>
      </w:r>
      <w:r w:rsidR="00C44576">
        <w:rPr>
          <w:b w:val="0"/>
        </w:rPr>
        <w:t>2</w:t>
      </w:r>
      <w:r w:rsidRPr="004146B0">
        <w:rPr>
          <w:b w:val="0"/>
        </w:rPr>
        <w:t xml:space="preserve"> раздела  3</w:t>
      </w:r>
      <w:r>
        <w:t xml:space="preserve"> </w:t>
      </w:r>
      <w:r>
        <w:rPr>
          <w:b w:val="0"/>
        </w:rPr>
        <w:t xml:space="preserve"> плана работы Контрольно-счетной Палаты </w:t>
      </w:r>
      <w:proofErr w:type="spellStart"/>
      <w:r>
        <w:rPr>
          <w:b w:val="0"/>
        </w:rPr>
        <w:t>Поддорского</w:t>
      </w:r>
      <w:proofErr w:type="spellEnd"/>
      <w:r>
        <w:rPr>
          <w:b w:val="0"/>
        </w:rPr>
        <w:t xml:space="preserve"> муниципального района на 20</w:t>
      </w:r>
      <w:r w:rsidR="00E83683">
        <w:rPr>
          <w:b w:val="0"/>
        </w:rPr>
        <w:t>2</w:t>
      </w:r>
      <w:r w:rsidR="00C44576">
        <w:rPr>
          <w:b w:val="0"/>
        </w:rPr>
        <w:t>2</w:t>
      </w:r>
      <w:r>
        <w:rPr>
          <w:b w:val="0"/>
        </w:rPr>
        <w:t xml:space="preserve"> год, на основании </w:t>
      </w:r>
      <w:r w:rsidR="00E83683" w:rsidRPr="00E83683">
        <w:rPr>
          <w:b w:val="0"/>
        </w:rPr>
        <w:t xml:space="preserve">приказа Контрольно-счетной Палаты </w:t>
      </w:r>
      <w:proofErr w:type="spellStart"/>
      <w:r w:rsidR="00E83683" w:rsidRPr="00E83683">
        <w:rPr>
          <w:b w:val="0"/>
        </w:rPr>
        <w:t>Поддорского</w:t>
      </w:r>
      <w:proofErr w:type="spellEnd"/>
      <w:r w:rsidR="00E83683" w:rsidRPr="00E83683">
        <w:rPr>
          <w:b w:val="0"/>
        </w:rPr>
        <w:t xml:space="preserve"> муниципального района от </w:t>
      </w:r>
      <w:r w:rsidR="00C44576">
        <w:rPr>
          <w:b w:val="0"/>
        </w:rPr>
        <w:t>05.09.2022</w:t>
      </w:r>
      <w:r w:rsidR="00E83683" w:rsidRPr="00E83683">
        <w:rPr>
          <w:b w:val="0"/>
        </w:rPr>
        <w:t xml:space="preserve"> № </w:t>
      </w:r>
      <w:r w:rsidR="00C44576">
        <w:rPr>
          <w:b w:val="0"/>
        </w:rPr>
        <w:t>85</w:t>
      </w:r>
      <w:r w:rsidR="00E83683" w:rsidRPr="00E83683">
        <w:rPr>
          <w:b w:val="0"/>
        </w:rPr>
        <w:t xml:space="preserve"> на проведение контрольного м</w:t>
      </w:r>
      <w:r w:rsidR="00C44576">
        <w:rPr>
          <w:b w:val="0"/>
        </w:rPr>
        <w:t>ероприятия «Проверка финансово-</w:t>
      </w:r>
      <w:r w:rsidR="00E83683" w:rsidRPr="00E83683">
        <w:rPr>
          <w:b w:val="0"/>
        </w:rPr>
        <w:t xml:space="preserve">хозяйственной деятельности  </w:t>
      </w:r>
      <w:r w:rsidR="00C44576">
        <w:rPr>
          <w:b w:val="0"/>
        </w:rPr>
        <w:t>м</w:t>
      </w:r>
      <w:r w:rsidR="00E83683" w:rsidRPr="00E83683">
        <w:rPr>
          <w:b w:val="0"/>
        </w:rPr>
        <w:t xml:space="preserve">униципального бюджетного учреждения «Центр обслуживания учреждений культуры </w:t>
      </w:r>
      <w:proofErr w:type="spellStart"/>
      <w:r w:rsidR="00E83683" w:rsidRPr="00E83683">
        <w:rPr>
          <w:b w:val="0"/>
        </w:rPr>
        <w:t>Поддорского</w:t>
      </w:r>
      <w:proofErr w:type="spellEnd"/>
      <w:r w:rsidR="00E83683" w:rsidRPr="00E83683">
        <w:rPr>
          <w:b w:val="0"/>
        </w:rPr>
        <w:t xml:space="preserve"> муниципального района» за 20</w:t>
      </w:r>
      <w:r w:rsidR="00C44576">
        <w:rPr>
          <w:b w:val="0"/>
        </w:rPr>
        <w:t xml:space="preserve">21 год </w:t>
      </w:r>
      <w:r w:rsidR="00E83683" w:rsidRPr="00E83683">
        <w:rPr>
          <w:b w:val="0"/>
        </w:rPr>
        <w:t>»</w:t>
      </w:r>
      <w:r w:rsidR="00E83683" w:rsidRPr="00E83683">
        <w:t xml:space="preserve"> </w:t>
      </w:r>
      <w:r w:rsidR="00E83683" w:rsidRPr="00E83683">
        <w:rPr>
          <w:b w:val="0"/>
        </w:rPr>
        <w:t>председателем Контрольно-счетной Палаты муниципального района Семеновой Т.Г.</w:t>
      </w:r>
      <w:r w:rsidR="00E83683">
        <w:rPr>
          <w:b w:val="0"/>
        </w:rPr>
        <w:t xml:space="preserve"> </w:t>
      </w:r>
      <w:r w:rsidR="00C44576">
        <w:rPr>
          <w:b w:val="0"/>
        </w:rPr>
        <w:t>и ведущим инспектором Виноградовой</w:t>
      </w:r>
      <w:proofErr w:type="gramEnd"/>
      <w:r w:rsidR="00C44576">
        <w:rPr>
          <w:b w:val="0"/>
        </w:rPr>
        <w:t xml:space="preserve"> Е.А. </w:t>
      </w:r>
      <w:r w:rsidR="00E83683">
        <w:rPr>
          <w:b w:val="0"/>
        </w:rPr>
        <w:t>проведено контрольное мероприятие</w:t>
      </w:r>
      <w:r>
        <w:rPr>
          <w:b w:val="0"/>
        </w:rPr>
        <w:t>.</w:t>
      </w:r>
    </w:p>
    <w:p w:rsidR="004146B0" w:rsidRPr="008012BD" w:rsidRDefault="004146B0" w:rsidP="004146B0">
      <w:pPr>
        <w:tabs>
          <w:tab w:val="num" w:pos="0"/>
        </w:tabs>
        <w:ind w:firstLine="720"/>
        <w:jc w:val="center"/>
        <w:rPr>
          <w:bCs/>
        </w:rPr>
      </w:pPr>
    </w:p>
    <w:p w:rsidR="004146B0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  <w:r w:rsidRPr="000649C6">
        <w:rPr>
          <w:bCs/>
          <w:sz w:val="28"/>
          <w:szCs w:val="28"/>
        </w:rPr>
        <w:t>В ходе контрольного мероприятия выявлено:</w:t>
      </w:r>
    </w:p>
    <w:p w:rsidR="00C44576" w:rsidRPr="004A7345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в нарушение статьи 91 Трудового кодекса Российской Федерации по машинистам (кочегарам) котельной с января по апрель и с сентября по декабрь 2021 года не составлялся табель учета использования рабочего времени,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 в нарушение статьи 99 Трудового кодекса Российской Федерации по машинистам (кочегарам) котельной превышена </w:t>
      </w:r>
      <w:r>
        <w:rPr>
          <w:rFonts w:eastAsiaTheme="minorHAnsi"/>
          <w:bCs/>
          <w:iCs/>
          <w:sz w:val="28"/>
          <w:szCs w:val="28"/>
          <w:lang w:eastAsia="en-US"/>
        </w:rPr>
        <w:t>п</w:t>
      </w:r>
      <w:r w:rsidRPr="0002106F">
        <w:rPr>
          <w:rFonts w:eastAsiaTheme="minorHAnsi"/>
          <w:bCs/>
          <w:iCs/>
          <w:sz w:val="28"/>
          <w:szCs w:val="28"/>
          <w:lang w:eastAsia="en-US"/>
        </w:rPr>
        <w:t xml:space="preserve">родолжительность сверхурочной работы для каждого работника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свыше </w:t>
      </w:r>
      <w:r w:rsidRPr="0002106F">
        <w:rPr>
          <w:rFonts w:eastAsiaTheme="minorHAnsi"/>
          <w:bCs/>
          <w:iCs/>
          <w:sz w:val="28"/>
          <w:szCs w:val="28"/>
          <w:lang w:eastAsia="en-US"/>
        </w:rPr>
        <w:t>120 часов в год</w:t>
      </w:r>
      <w:r>
        <w:rPr>
          <w:rFonts w:eastAsiaTheme="minorHAnsi"/>
          <w:bCs/>
          <w:iCs/>
          <w:sz w:val="28"/>
          <w:szCs w:val="28"/>
          <w:lang w:eastAsia="en-US"/>
        </w:rPr>
        <w:t>,</w:t>
      </w:r>
    </w:p>
    <w:p w:rsidR="00C44576" w:rsidRDefault="00C44576" w:rsidP="00C44576">
      <w:pPr>
        <w:shd w:val="clear" w:color="auto" w:fill="FFFFFF"/>
        <w:jc w:val="both"/>
        <w:textAlignment w:val="baseline"/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в</w:t>
      </w:r>
      <w:r w:rsidRPr="00533791">
        <w:rPr>
          <w:sz w:val="28"/>
          <w:szCs w:val="28"/>
        </w:rPr>
        <w:t xml:space="preserve"> нарушение ст. 9 Закона N 402-ФЗ, в Учетной политике не утверждены </w:t>
      </w:r>
      <w:proofErr w:type="gramStart"/>
      <w:r w:rsidRPr="00533791">
        <w:rPr>
          <w:sz w:val="28"/>
          <w:szCs w:val="28"/>
        </w:rPr>
        <w:t>вид</w:t>
      </w:r>
      <w:proofErr w:type="gramEnd"/>
      <w:r w:rsidRPr="00533791">
        <w:rPr>
          <w:sz w:val="28"/>
          <w:szCs w:val="28"/>
        </w:rPr>
        <w:t xml:space="preserve"> и способ заполнения табеля рабочего времени</w:t>
      </w:r>
      <w:r>
        <w:t>.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  <w:r>
        <w:t xml:space="preserve">- </w:t>
      </w:r>
      <w:r w:rsidRPr="00220631">
        <w:rPr>
          <w:sz w:val="28"/>
          <w:szCs w:val="28"/>
        </w:rPr>
        <w:t xml:space="preserve">в нарушение ст. 9 </w:t>
      </w:r>
      <w:r w:rsidRPr="00220631">
        <w:rPr>
          <w:color w:val="22272F"/>
          <w:sz w:val="28"/>
          <w:szCs w:val="28"/>
        </w:rPr>
        <w:t>Федерального закона от 6 декабря 2011 г. N 402-ФЗ "О бухгалтерском учете"</w:t>
      </w:r>
      <w:r w:rsidRPr="00220631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Учреждением</w:t>
      </w:r>
      <w:r w:rsidRPr="00220631">
        <w:rPr>
          <w:sz w:val="28"/>
          <w:szCs w:val="28"/>
        </w:rPr>
        <w:t xml:space="preserve"> самостоятельно разработан</w:t>
      </w:r>
      <w:r>
        <w:rPr>
          <w:sz w:val="28"/>
          <w:szCs w:val="28"/>
        </w:rPr>
        <w:t>а</w:t>
      </w:r>
      <w:r w:rsidRPr="00220631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220631">
        <w:rPr>
          <w:sz w:val="28"/>
          <w:szCs w:val="28"/>
        </w:rPr>
        <w:t xml:space="preserve"> учета заработной платы: форма «свод </w:t>
      </w:r>
      <w:r>
        <w:rPr>
          <w:sz w:val="28"/>
          <w:szCs w:val="28"/>
        </w:rPr>
        <w:t>расчетных ведомостей по</w:t>
      </w:r>
      <w:r w:rsidRPr="00220631">
        <w:rPr>
          <w:sz w:val="28"/>
          <w:szCs w:val="28"/>
        </w:rPr>
        <w:t xml:space="preserve"> заработной плат</w:t>
      </w:r>
      <w:r>
        <w:rPr>
          <w:sz w:val="28"/>
          <w:szCs w:val="28"/>
        </w:rPr>
        <w:t>е</w:t>
      </w:r>
      <w:r w:rsidRPr="00220631">
        <w:rPr>
          <w:sz w:val="28"/>
          <w:szCs w:val="28"/>
        </w:rPr>
        <w:t xml:space="preserve">», в которых отсутствуют обязательные реквизиты </w:t>
      </w:r>
      <w:r w:rsidRPr="00220631">
        <w:rPr>
          <w:color w:val="22272F"/>
          <w:sz w:val="28"/>
          <w:szCs w:val="28"/>
        </w:rPr>
        <w:t xml:space="preserve">первичного учетного </w:t>
      </w:r>
      <w:r w:rsidRPr="00220631">
        <w:rPr>
          <w:color w:val="22272F"/>
          <w:sz w:val="28"/>
          <w:szCs w:val="28"/>
        </w:rPr>
        <w:lastRenderedPageBreak/>
        <w:t>документа</w:t>
      </w:r>
      <w:r>
        <w:rPr>
          <w:color w:val="22272F"/>
          <w:sz w:val="28"/>
          <w:szCs w:val="28"/>
        </w:rPr>
        <w:t xml:space="preserve"> (дата и номер)</w:t>
      </w:r>
      <w:r w:rsidRPr="00220631">
        <w:rPr>
          <w:color w:val="22272F"/>
          <w:sz w:val="28"/>
          <w:szCs w:val="28"/>
        </w:rPr>
        <w:t>. Данн</w:t>
      </w:r>
      <w:r>
        <w:rPr>
          <w:color w:val="22272F"/>
          <w:sz w:val="28"/>
          <w:szCs w:val="28"/>
        </w:rPr>
        <w:t>ая</w:t>
      </w:r>
      <w:r w:rsidRPr="00220631">
        <w:rPr>
          <w:color w:val="22272F"/>
          <w:sz w:val="28"/>
          <w:szCs w:val="28"/>
        </w:rPr>
        <w:t xml:space="preserve"> форм</w:t>
      </w:r>
      <w:r>
        <w:rPr>
          <w:color w:val="22272F"/>
          <w:sz w:val="28"/>
          <w:szCs w:val="28"/>
        </w:rPr>
        <w:t>а</w:t>
      </w:r>
      <w:r w:rsidRPr="00220631">
        <w:rPr>
          <w:color w:val="22272F"/>
          <w:sz w:val="28"/>
          <w:szCs w:val="28"/>
        </w:rPr>
        <w:t xml:space="preserve"> первичн</w:t>
      </w:r>
      <w:r>
        <w:rPr>
          <w:color w:val="22272F"/>
          <w:sz w:val="28"/>
          <w:szCs w:val="28"/>
        </w:rPr>
        <w:t>ого</w:t>
      </w:r>
      <w:r w:rsidRPr="00220631">
        <w:rPr>
          <w:color w:val="22272F"/>
          <w:sz w:val="28"/>
          <w:szCs w:val="28"/>
        </w:rPr>
        <w:t xml:space="preserve"> документ</w:t>
      </w:r>
      <w:r>
        <w:rPr>
          <w:color w:val="22272F"/>
          <w:sz w:val="28"/>
          <w:szCs w:val="28"/>
        </w:rPr>
        <w:t>а</w:t>
      </w:r>
      <w:r w:rsidRPr="00220631">
        <w:rPr>
          <w:color w:val="22272F"/>
          <w:sz w:val="28"/>
          <w:szCs w:val="28"/>
        </w:rPr>
        <w:t xml:space="preserve"> не утвержден</w:t>
      </w:r>
      <w:r>
        <w:rPr>
          <w:color w:val="22272F"/>
          <w:sz w:val="28"/>
          <w:szCs w:val="28"/>
        </w:rPr>
        <w:t>а</w:t>
      </w:r>
      <w:r w:rsidRPr="00220631">
        <w:rPr>
          <w:color w:val="22272F"/>
          <w:sz w:val="28"/>
          <w:szCs w:val="28"/>
        </w:rPr>
        <w:t xml:space="preserve"> Учетной политикой Учреждения</w:t>
      </w:r>
      <w:r>
        <w:rPr>
          <w:color w:val="22272F"/>
          <w:sz w:val="28"/>
          <w:szCs w:val="28"/>
        </w:rPr>
        <w:t>.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- </w:t>
      </w:r>
      <w:proofErr w:type="gramStart"/>
      <w:r>
        <w:rPr>
          <w:color w:val="22272F"/>
          <w:sz w:val="28"/>
          <w:szCs w:val="28"/>
        </w:rPr>
        <w:t>в</w:t>
      </w:r>
      <w:proofErr w:type="gramEnd"/>
      <w:r>
        <w:rPr>
          <w:color w:val="22272F"/>
          <w:sz w:val="28"/>
          <w:szCs w:val="28"/>
        </w:rPr>
        <w:t xml:space="preserve"> нарушение п</w:t>
      </w:r>
      <w:r w:rsidRPr="00B7561A">
        <w:rPr>
          <w:sz w:val="28"/>
          <w:szCs w:val="28"/>
        </w:rPr>
        <w:t>оложени</w:t>
      </w:r>
      <w:r>
        <w:rPr>
          <w:sz w:val="28"/>
          <w:szCs w:val="28"/>
        </w:rPr>
        <w:t>й</w:t>
      </w:r>
      <w:r w:rsidRPr="00B7561A">
        <w:rPr>
          <w:sz w:val="28"/>
          <w:szCs w:val="28"/>
        </w:rPr>
        <w:t xml:space="preserve"> </w:t>
      </w:r>
      <w:hyperlink r:id="rId6">
        <w:r w:rsidRPr="006F2E8A">
          <w:rPr>
            <w:sz w:val="28"/>
            <w:szCs w:val="28"/>
          </w:rPr>
          <w:t>статей 129</w:t>
        </w:r>
      </w:hyperlink>
      <w:r w:rsidRPr="006F2E8A">
        <w:rPr>
          <w:sz w:val="28"/>
          <w:szCs w:val="28"/>
        </w:rPr>
        <w:t xml:space="preserve">, </w:t>
      </w:r>
      <w:hyperlink r:id="rId7">
        <w:r w:rsidRPr="006F2E8A">
          <w:rPr>
            <w:sz w:val="28"/>
            <w:szCs w:val="28"/>
          </w:rPr>
          <w:t>133</w:t>
        </w:r>
      </w:hyperlink>
      <w:r w:rsidRPr="006F2E8A">
        <w:rPr>
          <w:sz w:val="28"/>
          <w:szCs w:val="28"/>
        </w:rPr>
        <w:t xml:space="preserve"> и </w:t>
      </w:r>
      <w:hyperlink r:id="rId8">
        <w:r w:rsidRPr="006F2E8A">
          <w:rPr>
            <w:sz w:val="28"/>
            <w:szCs w:val="28"/>
          </w:rPr>
          <w:t>133.1</w:t>
        </w:r>
      </w:hyperlink>
      <w:r w:rsidRPr="00B7561A">
        <w:rPr>
          <w:sz w:val="28"/>
          <w:szCs w:val="28"/>
        </w:rPr>
        <w:t xml:space="preserve"> Трудового кодекса Российской Федерации в системной связи с его </w:t>
      </w:r>
      <w:hyperlink r:id="rId9">
        <w:r w:rsidRPr="006F2E8A">
          <w:rPr>
            <w:sz w:val="28"/>
            <w:szCs w:val="28"/>
          </w:rPr>
          <w:t>статьями 149</w:t>
        </w:r>
      </w:hyperlink>
      <w:r w:rsidRPr="006F2E8A">
        <w:rPr>
          <w:sz w:val="28"/>
          <w:szCs w:val="28"/>
        </w:rPr>
        <w:t xml:space="preserve">, </w:t>
      </w:r>
      <w:hyperlink r:id="rId10">
        <w:r w:rsidRPr="006F2E8A">
          <w:rPr>
            <w:sz w:val="28"/>
            <w:szCs w:val="28"/>
          </w:rPr>
          <w:t>152</w:t>
        </w:r>
      </w:hyperlink>
      <w:r w:rsidRPr="006F2E8A">
        <w:rPr>
          <w:sz w:val="28"/>
          <w:szCs w:val="28"/>
        </w:rPr>
        <w:t xml:space="preserve"> - </w:t>
      </w:r>
      <w:hyperlink r:id="rId11">
        <w:r w:rsidRPr="006F2E8A">
          <w:rPr>
            <w:sz w:val="28"/>
            <w:szCs w:val="28"/>
          </w:rPr>
          <w:t>154</w:t>
        </w:r>
      </w:hyperlink>
      <w:r>
        <w:t xml:space="preserve"> </w:t>
      </w:r>
      <w:r w:rsidRPr="00522157">
        <w:rPr>
          <w:sz w:val="28"/>
          <w:szCs w:val="28"/>
        </w:rPr>
        <w:t xml:space="preserve">в части </w:t>
      </w:r>
      <w:r w:rsidRPr="00B7561A">
        <w:rPr>
          <w:sz w:val="28"/>
          <w:szCs w:val="28"/>
        </w:rPr>
        <w:t>соблюдени</w:t>
      </w:r>
      <w:r>
        <w:rPr>
          <w:sz w:val="28"/>
          <w:szCs w:val="28"/>
        </w:rPr>
        <w:t>я</w:t>
      </w:r>
      <w:r w:rsidRPr="00B7561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B7561A">
        <w:rPr>
          <w:sz w:val="28"/>
          <w:szCs w:val="28"/>
        </w:rPr>
        <w:t xml:space="preserve">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труда, а также повышенную оплату труда в условиях, отклоняющихся </w:t>
      </w:r>
      <w:proofErr w:type="gramStart"/>
      <w:r w:rsidRPr="00B7561A">
        <w:rPr>
          <w:sz w:val="28"/>
          <w:szCs w:val="28"/>
        </w:rPr>
        <w:t>от</w:t>
      </w:r>
      <w:proofErr w:type="gramEnd"/>
      <w:r w:rsidRPr="00B7561A">
        <w:rPr>
          <w:sz w:val="28"/>
          <w:szCs w:val="28"/>
        </w:rPr>
        <w:t xml:space="preserve"> нормальных, в том числе при работе в ночное время, сверхурочной работе, работе в выходные и нерабочие праздничные дни.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1) </w:t>
      </w:r>
      <w:r w:rsidRPr="00936B75">
        <w:rPr>
          <w:rFonts w:eastAsiaTheme="minorHAnsi"/>
          <w:b/>
          <w:sz w:val="28"/>
          <w:szCs w:val="28"/>
          <w:lang w:eastAsia="en-US"/>
        </w:rPr>
        <w:t>Не до начислено</w:t>
      </w:r>
      <w:r>
        <w:rPr>
          <w:rFonts w:eastAsiaTheme="minorHAnsi"/>
          <w:sz w:val="28"/>
          <w:szCs w:val="28"/>
          <w:lang w:eastAsia="en-US"/>
        </w:rPr>
        <w:t xml:space="preserve"> заработной платы </w:t>
      </w:r>
      <w:r w:rsidRPr="00936B75">
        <w:rPr>
          <w:rFonts w:eastAsiaTheme="minorHAnsi"/>
          <w:b/>
          <w:sz w:val="28"/>
          <w:szCs w:val="28"/>
          <w:lang w:eastAsia="en-US"/>
        </w:rPr>
        <w:t>всего за 2021 год</w:t>
      </w:r>
      <w:r>
        <w:rPr>
          <w:rFonts w:eastAsiaTheme="minorHAnsi"/>
          <w:sz w:val="28"/>
          <w:szCs w:val="28"/>
          <w:lang w:eastAsia="en-US"/>
        </w:rPr>
        <w:t xml:space="preserve"> в сумме </w:t>
      </w:r>
      <w:r w:rsidRPr="00936B75">
        <w:rPr>
          <w:rFonts w:eastAsiaTheme="minorHAnsi"/>
          <w:b/>
          <w:sz w:val="28"/>
          <w:szCs w:val="28"/>
          <w:lang w:eastAsia="en-US"/>
        </w:rPr>
        <w:t>279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936B75">
        <w:rPr>
          <w:rFonts w:eastAsiaTheme="minorHAnsi"/>
          <w:b/>
          <w:sz w:val="28"/>
          <w:szCs w:val="28"/>
          <w:lang w:eastAsia="en-US"/>
        </w:rPr>
        <w:t>987,04 рублей</w:t>
      </w:r>
      <w:r>
        <w:rPr>
          <w:rFonts w:eastAsiaTheme="minorHAnsi"/>
          <w:sz w:val="28"/>
          <w:szCs w:val="28"/>
          <w:lang w:eastAsia="en-US"/>
        </w:rPr>
        <w:t xml:space="preserve">, в </w:t>
      </w:r>
      <w:r w:rsidRPr="00936B75">
        <w:rPr>
          <w:rFonts w:eastAsiaTheme="minorHAnsi"/>
          <w:b/>
          <w:sz w:val="28"/>
          <w:szCs w:val="28"/>
          <w:lang w:eastAsia="en-US"/>
        </w:rPr>
        <w:t>том числе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36B75">
        <w:rPr>
          <w:rFonts w:eastAsiaTheme="minorHAnsi"/>
          <w:b/>
          <w:sz w:val="28"/>
          <w:szCs w:val="28"/>
          <w:lang w:eastAsia="en-US"/>
        </w:rPr>
        <w:t>меньше начислено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МРОТ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сумме за 2021 год </w:t>
      </w:r>
      <w:r w:rsidRPr="00936B75">
        <w:rPr>
          <w:rFonts w:eastAsiaTheme="minorHAnsi"/>
          <w:b/>
          <w:sz w:val="28"/>
          <w:szCs w:val="28"/>
          <w:lang w:eastAsia="en-US"/>
        </w:rPr>
        <w:t>586 546,74 рублей</w:t>
      </w:r>
      <w:r>
        <w:rPr>
          <w:rFonts w:eastAsiaTheme="minorHAnsi"/>
          <w:sz w:val="28"/>
          <w:szCs w:val="28"/>
          <w:lang w:eastAsia="en-US"/>
        </w:rPr>
        <w:t xml:space="preserve"> (1 357 147,66 рублей – 770600,92 рублей);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36B75">
        <w:rPr>
          <w:rFonts w:eastAsiaTheme="minorHAnsi"/>
          <w:b/>
          <w:sz w:val="28"/>
          <w:szCs w:val="28"/>
          <w:lang w:eastAsia="en-US"/>
        </w:rPr>
        <w:t>излишне начислена</w:t>
      </w:r>
      <w:r>
        <w:rPr>
          <w:rFonts w:eastAsiaTheme="minorHAnsi"/>
          <w:sz w:val="28"/>
          <w:szCs w:val="28"/>
          <w:lang w:eastAsia="en-US"/>
        </w:rPr>
        <w:t xml:space="preserve"> выплата за работу в ночное время в сумме </w:t>
      </w:r>
      <w:r w:rsidRPr="00936B75">
        <w:rPr>
          <w:rFonts w:eastAsiaTheme="minorHAnsi"/>
          <w:b/>
          <w:sz w:val="28"/>
          <w:szCs w:val="28"/>
          <w:lang w:eastAsia="en-US"/>
        </w:rPr>
        <w:t>281 075,21 рублей</w:t>
      </w:r>
      <w:r>
        <w:rPr>
          <w:rFonts w:eastAsiaTheme="minorHAnsi"/>
          <w:sz w:val="28"/>
          <w:szCs w:val="28"/>
          <w:lang w:eastAsia="en-US"/>
        </w:rPr>
        <w:t xml:space="preserve"> (43184,63 рублей – 324 259,84 рублей);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36B75">
        <w:rPr>
          <w:rFonts w:eastAsiaTheme="minorHAnsi"/>
          <w:b/>
          <w:sz w:val="28"/>
          <w:szCs w:val="28"/>
          <w:lang w:eastAsia="en-US"/>
        </w:rPr>
        <w:t>излишне начислена</w:t>
      </w:r>
      <w:r>
        <w:rPr>
          <w:rFonts w:eastAsiaTheme="minorHAnsi"/>
          <w:sz w:val="28"/>
          <w:szCs w:val="28"/>
          <w:lang w:eastAsia="en-US"/>
        </w:rPr>
        <w:t xml:space="preserve"> окладная часть в сумме </w:t>
      </w:r>
      <w:r w:rsidRPr="00936B75">
        <w:rPr>
          <w:rFonts w:eastAsiaTheme="minorHAnsi"/>
          <w:b/>
          <w:sz w:val="28"/>
          <w:szCs w:val="28"/>
          <w:lang w:eastAsia="en-US"/>
        </w:rPr>
        <w:t>52,09 рублей</w:t>
      </w:r>
      <w:r>
        <w:rPr>
          <w:rFonts w:eastAsiaTheme="minorHAnsi"/>
          <w:sz w:val="28"/>
          <w:szCs w:val="28"/>
          <w:lang w:eastAsia="en-US"/>
        </w:rPr>
        <w:t xml:space="preserve"> (557566 рублей-557618,09 рублей);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36B75">
        <w:rPr>
          <w:rFonts w:eastAsiaTheme="minorHAnsi"/>
          <w:b/>
          <w:sz w:val="28"/>
          <w:szCs w:val="28"/>
          <w:lang w:eastAsia="en-US"/>
        </w:rPr>
        <w:t>излишне начислена</w:t>
      </w:r>
      <w:r>
        <w:rPr>
          <w:rFonts w:eastAsiaTheme="minorHAnsi"/>
          <w:sz w:val="28"/>
          <w:szCs w:val="28"/>
          <w:lang w:eastAsia="en-US"/>
        </w:rPr>
        <w:t xml:space="preserve"> выплата за работу в праздничные дни в сумме </w:t>
      </w:r>
      <w:r w:rsidRPr="00936B75">
        <w:rPr>
          <w:rFonts w:eastAsiaTheme="minorHAnsi"/>
          <w:b/>
          <w:sz w:val="28"/>
          <w:szCs w:val="28"/>
          <w:lang w:eastAsia="en-US"/>
        </w:rPr>
        <w:t>8 922,64 рублей</w:t>
      </w:r>
      <w:r>
        <w:rPr>
          <w:rFonts w:eastAsiaTheme="minorHAnsi"/>
          <w:sz w:val="28"/>
          <w:szCs w:val="28"/>
          <w:lang w:eastAsia="en-US"/>
        </w:rPr>
        <w:t xml:space="preserve"> (17365,88 рублей-26288,52 рублей);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936B75">
        <w:rPr>
          <w:rFonts w:eastAsiaTheme="minorHAnsi"/>
          <w:b/>
          <w:sz w:val="28"/>
          <w:szCs w:val="28"/>
          <w:lang w:eastAsia="en-US"/>
        </w:rPr>
        <w:t>излишне начислена</w:t>
      </w:r>
      <w:r>
        <w:rPr>
          <w:rFonts w:eastAsiaTheme="minorHAnsi"/>
          <w:sz w:val="28"/>
          <w:szCs w:val="28"/>
          <w:lang w:eastAsia="en-US"/>
        </w:rPr>
        <w:t xml:space="preserve"> выплата за сверхурочную работу в сумме </w:t>
      </w:r>
      <w:r w:rsidRPr="00936B75">
        <w:rPr>
          <w:rFonts w:eastAsiaTheme="minorHAnsi"/>
          <w:b/>
          <w:sz w:val="28"/>
          <w:szCs w:val="28"/>
          <w:lang w:eastAsia="en-US"/>
        </w:rPr>
        <w:t>16 509,76 рублей</w:t>
      </w:r>
      <w:r>
        <w:rPr>
          <w:rFonts w:eastAsiaTheme="minorHAnsi"/>
          <w:sz w:val="28"/>
          <w:szCs w:val="28"/>
          <w:lang w:eastAsia="en-US"/>
        </w:rPr>
        <w:t xml:space="preserve"> (211 955,67 рублей-228465,43 рублей).</w:t>
      </w:r>
    </w:p>
    <w:p w:rsidR="00C44576" w:rsidRDefault="00C44576" w:rsidP="00C445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2) В апреле и ноябре 2021 года не правильно определена норма часов 176 и 160 соответственно, а следовало определить по производственному календарю на 2021 год 175 и 159 соответственно.</w:t>
      </w:r>
    </w:p>
    <w:p w:rsidR="004146B0" w:rsidRDefault="004146B0" w:rsidP="004146B0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46B0" w:rsidRDefault="004146B0" w:rsidP="004146B0">
      <w:pPr>
        <w:ind w:firstLine="66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  <w:szCs w:val="28"/>
        </w:rPr>
        <w:t>С</w:t>
      </w:r>
      <w:r>
        <w:rPr>
          <w:rFonts w:ascii="Times New Roman CYR" w:hAnsi="Times New Roman CYR"/>
          <w:b/>
          <w:sz w:val="16"/>
        </w:rPr>
        <w:t xml:space="preserve"> </w:t>
      </w:r>
      <w:r>
        <w:rPr>
          <w:rFonts w:ascii="Times New Roman CYR" w:hAnsi="Times New Roman CYR"/>
          <w:sz w:val="28"/>
        </w:rPr>
        <w:t xml:space="preserve">учетом </w:t>
      </w:r>
      <w:proofErr w:type="gramStart"/>
      <w:r>
        <w:rPr>
          <w:rFonts w:ascii="Times New Roman CYR" w:hAnsi="Times New Roman CYR"/>
          <w:sz w:val="28"/>
        </w:rPr>
        <w:t>изложен</w:t>
      </w:r>
      <w:r w:rsidR="000407B5">
        <w:rPr>
          <w:rFonts w:ascii="Times New Roman CYR" w:hAnsi="Times New Roman CYR"/>
          <w:sz w:val="28"/>
        </w:rPr>
        <w:t>н</w:t>
      </w:r>
      <w:r>
        <w:rPr>
          <w:rFonts w:ascii="Times New Roman CYR" w:hAnsi="Times New Roman CYR"/>
          <w:sz w:val="28"/>
        </w:rPr>
        <w:t>ого</w:t>
      </w:r>
      <w:proofErr w:type="gramEnd"/>
      <w:r>
        <w:rPr>
          <w:rFonts w:ascii="Times New Roman CYR" w:hAnsi="Times New Roman CYR"/>
          <w:sz w:val="28"/>
        </w:rPr>
        <w:t xml:space="preserve"> предлагается принять меры:</w:t>
      </w:r>
    </w:p>
    <w:p w:rsidR="00C44576" w:rsidRPr="00870952" w:rsidRDefault="00C44576" w:rsidP="00870952">
      <w:pPr>
        <w:pStyle w:val="a4"/>
        <w:numPr>
          <w:ilvl w:val="0"/>
          <w:numId w:val="5"/>
        </w:numPr>
        <w:tabs>
          <w:tab w:val="left" w:pos="709"/>
          <w:tab w:val="left" w:pos="1134"/>
        </w:tabs>
        <w:spacing w:line="264" w:lineRule="auto"/>
        <w:ind w:right="27"/>
        <w:jc w:val="both"/>
        <w:rPr>
          <w:sz w:val="28"/>
        </w:rPr>
      </w:pPr>
      <w:r w:rsidRPr="00870952">
        <w:rPr>
          <w:rFonts w:eastAsiaTheme="minorHAnsi"/>
          <w:b/>
          <w:i/>
          <w:sz w:val="28"/>
          <w:szCs w:val="28"/>
          <w:lang w:eastAsia="en-US"/>
        </w:rPr>
        <w:t>Произвести  доначисление заработной платы</w:t>
      </w:r>
      <w:r w:rsidRPr="00870952">
        <w:rPr>
          <w:rFonts w:eastAsiaTheme="minorHAnsi"/>
          <w:sz w:val="28"/>
          <w:szCs w:val="28"/>
          <w:lang w:eastAsia="en-US"/>
        </w:rPr>
        <w:t xml:space="preserve"> машинистам (кочегарам) котельной за 2021 год</w:t>
      </w:r>
      <w:r w:rsidRPr="00870952">
        <w:rPr>
          <w:rFonts w:eastAsiaTheme="minorHAnsi"/>
          <w:b/>
          <w:i/>
          <w:sz w:val="28"/>
          <w:szCs w:val="28"/>
          <w:lang w:eastAsia="en-US"/>
        </w:rPr>
        <w:t xml:space="preserve"> в сумме </w:t>
      </w:r>
      <w:r w:rsidRPr="00870952">
        <w:rPr>
          <w:rFonts w:eastAsiaTheme="minorHAnsi"/>
          <w:b/>
          <w:sz w:val="28"/>
          <w:szCs w:val="28"/>
          <w:lang w:eastAsia="en-US"/>
        </w:rPr>
        <w:t xml:space="preserve">279 987,04 </w:t>
      </w:r>
      <w:r w:rsidRPr="00870952">
        <w:rPr>
          <w:rFonts w:eastAsiaTheme="minorHAnsi"/>
          <w:b/>
          <w:i/>
          <w:sz w:val="28"/>
          <w:szCs w:val="28"/>
          <w:lang w:eastAsia="en-US"/>
        </w:rPr>
        <w:t>рублей.</w:t>
      </w:r>
    </w:p>
    <w:p w:rsidR="00C44576" w:rsidRDefault="00C44576" w:rsidP="00C44576">
      <w:pPr>
        <w:numPr>
          <w:ilvl w:val="0"/>
          <w:numId w:val="5"/>
        </w:numPr>
        <w:tabs>
          <w:tab w:val="left" w:pos="709"/>
          <w:tab w:val="left" w:pos="1134"/>
        </w:tabs>
        <w:spacing w:line="264" w:lineRule="auto"/>
        <w:ind w:left="720" w:right="27" w:hanging="360"/>
        <w:jc w:val="both"/>
        <w:rPr>
          <w:sz w:val="28"/>
        </w:rPr>
      </w:pPr>
      <w:r>
        <w:rPr>
          <w:sz w:val="28"/>
        </w:rPr>
        <w:t>Устранить недочеты   в Учетной политике Учреждения.</w:t>
      </w:r>
    </w:p>
    <w:p w:rsidR="00C44576" w:rsidRPr="00AA45BE" w:rsidRDefault="00C44576" w:rsidP="00C44576">
      <w:pPr>
        <w:numPr>
          <w:ilvl w:val="0"/>
          <w:numId w:val="5"/>
        </w:numPr>
        <w:tabs>
          <w:tab w:val="left" w:pos="709"/>
          <w:tab w:val="left" w:pos="1134"/>
        </w:tabs>
        <w:spacing w:line="264" w:lineRule="auto"/>
        <w:ind w:left="720" w:right="27" w:hanging="36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Обеспечить составление табеля учета использования рабочего времени</w:t>
      </w:r>
      <w:r w:rsidRPr="00AA45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машинистам (кочегарам) котельной</w:t>
      </w:r>
    </w:p>
    <w:p w:rsidR="00C44576" w:rsidRPr="00AA45BE" w:rsidRDefault="00C44576" w:rsidP="00C44576">
      <w:pPr>
        <w:numPr>
          <w:ilvl w:val="0"/>
          <w:numId w:val="5"/>
        </w:numPr>
        <w:tabs>
          <w:tab w:val="left" w:pos="709"/>
          <w:tab w:val="left" w:pos="1134"/>
        </w:tabs>
        <w:spacing w:line="264" w:lineRule="auto"/>
        <w:ind w:left="720" w:right="27" w:hanging="36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Не допускать</w:t>
      </w:r>
      <w:r w:rsidRPr="00AA45B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превышения </w:t>
      </w:r>
      <w:r>
        <w:rPr>
          <w:rFonts w:eastAsiaTheme="minorHAnsi"/>
          <w:bCs/>
          <w:iCs/>
          <w:sz w:val="28"/>
          <w:szCs w:val="28"/>
          <w:lang w:eastAsia="en-US"/>
        </w:rPr>
        <w:t>п</w:t>
      </w:r>
      <w:r w:rsidRPr="0002106F">
        <w:rPr>
          <w:rFonts w:eastAsiaTheme="minorHAnsi"/>
          <w:bCs/>
          <w:iCs/>
          <w:sz w:val="28"/>
          <w:szCs w:val="28"/>
          <w:lang w:eastAsia="en-US"/>
        </w:rPr>
        <w:t>родолжительност</w:t>
      </w:r>
      <w:r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02106F">
        <w:rPr>
          <w:rFonts w:eastAsiaTheme="minorHAnsi"/>
          <w:bCs/>
          <w:iCs/>
          <w:sz w:val="28"/>
          <w:szCs w:val="28"/>
          <w:lang w:eastAsia="en-US"/>
        </w:rPr>
        <w:t xml:space="preserve"> сверхурочной работы для каждого работника 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свыше </w:t>
      </w:r>
      <w:r w:rsidRPr="0002106F">
        <w:rPr>
          <w:rFonts w:eastAsiaTheme="minorHAnsi"/>
          <w:bCs/>
          <w:iCs/>
          <w:sz w:val="28"/>
          <w:szCs w:val="28"/>
          <w:lang w:eastAsia="en-US"/>
        </w:rPr>
        <w:t>120 часов в год</w:t>
      </w:r>
    </w:p>
    <w:p w:rsidR="00C44576" w:rsidRPr="00870952" w:rsidRDefault="00C44576" w:rsidP="00C44576">
      <w:pPr>
        <w:numPr>
          <w:ilvl w:val="0"/>
          <w:numId w:val="5"/>
        </w:numPr>
        <w:tabs>
          <w:tab w:val="left" w:pos="709"/>
          <w:tab w:val="left" w:pos="1134"/>
        </w:tabs>
        <w:spacing w:line="264" w:lineRule="auto"/>
        <w:ind w:left="720" w:right="27" w:hanging="360"/>
        <w:jc w:val="both"/>
        <w:rPr>
          <w:sz w:val="28"/>
        </w:rPr>
      </w:pPr>
      <w:proofErr w:type="gramStart"/>
      <w:r>
        <w:rPr>
          <w:sz w:val="28"/>
          <w:szCs w:val="28"/>
        </w:rPr>
        <w:t xml:space="preserve">Обеспечить </w:t>
      </w:r>
      <w:r w:rsidRPr="00B7561A">
        <w:rPr>
          <w:sz w:val="28"/>
          <w:szCs w:val="28"/>
        </w:rPr>
        <w:t>соблюдени</w:t>
      </w:r>
      <w:r>
        <w:rPr>
          <w:sz w:val="28"/>
          <w:szCs w:val="28"/>
        </w:rPr>
        <w:t>е</w:t>
      </w:r>
      <w:r w:rsidRPr="00B7561A">
        <w:rPr>
          <w:sz w:val="28"/>
          <w:szCs w:val="28"/>
        </w:rPr>
        <w:t xml:space="preserve"> гаранти</w:t>
      </w:r>
      <w:r>
        <w:rPr>
          <w:sz w:val="28"/>
          <w:szCs w:val="28"/>
        </w:rPr>
        <w:t>й</w:t>
      </w:r>
      <w:r w:rsidRPr="00B7561A">
        <w:rPr>
          <w:sz w:val="28"/>
          <w:szCs w:val="28"/>
        </w:rPr>
        <w:t xml:space="preserve"> об установлении заработной платы не ниже минимального размера оплаты труда определение справедливой заработной платы для каждого работника в зависимости от его квалификации, сложности выполняемой работы, количества и качества затраченного труда, а также повышенную оплату труда в условиях, отклоняющихся от нормальных, в том числе при работе в ночное время, сверхурочной работе, работе в выходные и нерабочие праздничные дни.</w:t>
      </w:r>
      <w:proofErr w:type="gramEnd"/>
    </w:p>
    <w:p w:rsidR="00870952" w:rsidRPr="00870952" w:rsidRDefault="00C44576" w:rsidP="00870952">
      <w:pPr>
        <w:pStyle w:val="a4"/>
        <w:numPr>
          <w:ilvl w:val="0"/>
          <w:numId w:val="5"/>
        </w:numPr>
        <w:tabs>
          <w:tab w:val="num" w:pos="0"/>
        </w:tabs>
        <w:jc w:val="both"/>
        <w:rPr>
          <w:rStyle w:val="markedcontent"/>
          <w:bCs/>
          <w:sz w:val="28"/>
          <w:szCs w:val="28"/>
        </w:rPr>
      </w:pPr>
      <w:r w:rsidRPr="00870952">
        <w:rPr>
          <w:rStyle w:val="markedcontent"/>
          <w:sz w:val="28"/>
          <w:szCs w:val="28"/>
        </w:rPr>
        <w:lastRenderedPageBreak/>
        <w:t>Рассмотреть вопрос о привлечении к дисциплинарной</w:t>
      </w:r>
      <w:r w:rsidRPr="00870952">
        <w:rPr>
          <w:sz w:val="28"/>
          <w:szCs w:val="28"/>
        </w:rPr>
        <w:br/>
      </w:r>
      <w:r w:rsidRPr="00870952">
        <w:rPr>
          <w:rStyle w:val="markedcontent"/>
          <w:sz w:val="28"/>
          <w:szCs w:val="28"/>
        </w:rPr>
        <w:t>ответственности лиц, по чьей вине допущены выявленные нарушения.</w:t>
      </w:r>
    </w:p>
    <w:p w:rsidR="00870952" w:rsidRDefault="00870952" w:rsidP="00870952">
      <w:pPr>
        <w:tabs>
          <w:tab w:val="num" w:pos="0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4146B0" w:rsidRPr="00870952" w:rsidRDefault="00870952" w:rsidP="00870952">
      <w:pPr>
        <w:tabs>
          <w:tab w:val="num" w:pos="0"/>
        </w:tabs>
        <w:ind w:left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146B0" w:rsidRPr="00870952">
        <w:rPr>
          <w:bCs/>
          <w:sz w:val="28"/>
          <w:szCs w:val="28"/>
        </w:rPr>
        <w:t>На основании раздела 3 пункта 5 решения Думы</w:t>
      </w:r>
      <w:r w:rsidR="004146B0" w:rsidRPr="00870952">
        <w:rPr>
          <w:sz w:val="28"/>
          <w:szCs w:val="28"/>
        </w:rPr>
        <w:t xml:space="preserve"> от 02.12.2011 № 469 "О  Контрольно-счетной Палате" о</w:t>
      </w:r>
      <w:r w:rsidR="004146B0" w:rsidRPr="00870952">
        <w:rPr>
          <w:bCs/>
          <w:sz w:val="28"/>
          <w:szCs w:val="28"/>
        </w:rPr>
        <w:t xml:space="preserve"> результатах рассмотрения настоящего представления и принятых мерах необходимо проинформировать Контрольно-счетную Палату муниципального района в течение 30 </w:t>
      </w:r>
      <w:r w:rsidR="00981BFB" w:rsidRPr="00870952">
        <w:rPr>
          <w:bCs/>
          <w:sz w:val="28"/>
          <w:szCs w:val="28"/>
        </w:rPr>
        <w:t>дней со дня его получения</w:t>
      </w:r>
      <w:r>
        <w:rPr>
          <w:bCs/>
          <w:sz w:val="28"/>
          <w:szCs w:val="28"/>
        </w:rPr>
        <w:t>.</w:t>
      </w:r>
    </w:p>
    <w:p w:rsidR="004146B0" w:rsidRPr="000649C6" w:rsidRDefault="004146B0" w:rsidP="004146B0">
      <w:pPr>
        <w:tabs>
          <w:tab w:val="num" w:pos="0"/>
        </w:tabs>
        <w:ind w:firstLine="720"/>
        <w:jc w:val="both"/>
        <w:rPr>
          <w:bCs/>
          <w:sz w:val="28"/>
          <w:szCs w:val="28"/>
        </w:rPr>
      </w:pPr>
    </w:p>
    <w:p w:rsidR="004146B0" w:rsidRPr="008012BD" w:rsidRDefault="004146B0" w:rsidP="004146B0">
      <w:pPr>
        <w:tabs>
          <w:tab w:val="num" w:pos="0"/>
        </w:tabs>
        <w:ind w:firstLine="720"/>
        <w:jc w:val="both"/>
        <w:rPr>
          <w:bCs/>
        </w:rPr>
      </w:pPr>
    </w:p>
    <w:p w:rsidR="004146B0" w:rsidRDefault="004146B0" w:rsidP="004146B0">
      <w:pPr>
        <w:ind w:right="-365"/>
        <w:jc w:val="both"/>
        <w:rPr>
          <w:b/>
          <w:bCs/>
          <w:sz w:val="28"/>
          <w:szCs w:val="28"/>
        </w:rPr>
      </w:pPr>
      <w:r w:rsidRPr="000649C6">
        <w:rPr>
          <w:b/>
          <w:bCs/>
          <w:sz w:val="28"/>
          <w:szCs w:val="28"/>
        </w:rPr>
        <w:t>Председатель</w:t>
      </w:r>
      <w:r>
        <w:rPr>
          <w:b/>
          <w:bCs/>
          <w:sz w:val="28"/>
          <w:szCs w:val="28"/>
        </w:rPr>
        <w:t xml:space="preserve"> </w:t>
      </w:r>
    </w:p>
    <w:p w:rsidR="004146B0" w:rsidRDefault="004146B0" w:rsidP="004146B0">
      <w:pPr>
        <w:ind w:right="-365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Контрольно-счетной Палаты</w:t>
      </w:r>
      <w:r w:rsidRPr="000649C6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                   Т.Г.Семенова</w:t>
      </w:r>
    </w:p>
    <w:p w:rsidR="00232691" w:rsidRDefault="00232691" w:rsidP="00232691">
      <w:pPr>
        <w:ind w:left="5664" w:right="-365" w:firstLine="708"/>
        <w:jc w:val="both"/>
        <w:rPr>
          <w:b/>
          <w:sz w:val="28"/>
          <w:szCs w:val="28"/>
        </w:rPr>
      </w:pPr>
    </w:p>
    <w:p w:rsidR="00D72354" w:rsidRDefault="00D72354"/>
    <w:sectPr w:rsidR="00D72354" w:rsidSect="00232691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2FA8"/>
    <w:multiLevelType w:val="hybridMultilevel"/>
    <w:tmpl w:val="30B0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062F"/>
    <w:multiLevelType w:val="hybridMultilevel"/>
    <w:tmpl w:val="6DDAD99C"/>
    <w:lvl w:ilvl="0" w:tplc="9312C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240801"/>
    <w:multiLevelType w:val="multilevel"/>
    <w:tmpl w:val="4476DE30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D029AF"/>
    <w:multiLevelType w:val="hybridMultilevel"/>
    <w:tmpl w:val="5C9C3E1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230599A"/>
    <w:multiLevelType w:val="hybridMultilevel"/>
    <w:tmpl w:val="C096DF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232691"/>
    <w:rsid w:val="00031C2B"/>
    <w:rsid w:val="000407B5"/>
    <w:rsid w:val="00151B1B"/>
    <w:rsid w:val="001C6FE3"/>
    <w:rsid w:val="00232691"/>
    <w:rsid w:val="00255C90"/>
    <w:rsid w:val="00261800"/>
    <w:rsid w:val="003D4FE6"/>
    <w:rsid w:val="004146B0"/>
    <w:rsid w:val="004226D9"/>
    <w:rsid w:val="004539E6"/>
    <w:rsid w:val="0058396B"/>
    <w:rsid w:val="005D1253"/>
    <w:rsid w:val="00617C62"/>
    <w:rsid w:val="006944DB"/>
    <w:rsid w:val="00727845"/>
    <w:rsid w:val="007D0945"/>
    <w:rsid w:val="00832CD8"/>
    <w:rsid w:val="00842375"/>
    <w:rsid w:val="00870952"/>
    <w:rsid w:val="00981BFB"/>
    <w:rsid w:val="00984DE3"/>
    <w:rsid w:val="00A10BD5"/>
    <w:rsid w:val="00A36FE0"/>
    <w:rsid w:val="00C44576"/>
    <w:rsid w:val="00D32FB4"/>
    <w:rsid w:val="00D72354"/>
    <w:rsid w:val="00D863A6"/>
    <w:rsid w:val="00E05637"/>
    <w:rsid w:val="00E7184B"/>
    <w:rsid w:val="00E83683"/>
    <w:rsid w:val="00F02A35"/>
    <w:rsid w:val="00F20D81"/>
    <w:rsid w:val="00F705DB"/>
    <w:rsid w:val="00F8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326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3269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232691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3269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E0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18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61800"/>
    <w:pPr>
      <w:ind w:left="720"/>
      <w:contextualSpacing/>
    </w:pPr>
  </w:style>
  <w:style w:type="character" w:customStyle="1" w:styleId="blk">
    <w:name w:val="blk"/>
    <w:basedOn w:val="a0"/>
    <w:rsid w:val="00261800"/>
  </w:style>
  <w:style w:type="character" w:styleId="a5">
    <w:name w:val="Hyperlink"/>
    <w:basedOn w:val="a0"/>
    <w:rsid w:val="000407B5"/>
    <w:rPr>
      <w:color w:val="0000FF"/>
      <w:u w:val="single"/>
    </w:rPr>
  </w:style>
  <w:style w:type="character" w:customStyle="1" w:styleId="markedcontent">
    <w:name w:val="markedcontent"/>
    <w:basedOn w:val="a0"/>
    <w:rsid w:val="00C44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F989A6302840369D2E938AEE9A477AF1AC18AD34CDAA378820578564B22B43CAFA9F877A84D653FD4966F22E1A4493D1DDC0997DFC62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F989A6302840369D2E938AEE9A477AF1AC18AD34CDAA378820578564B22B43CAFA9F877A948653FD4966F22E1A4493D1DDC0997DFC624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5F989A6302840369D2E938AEE9A477AF1AC18AD34CDAA378820578564B22B43CAFA9FF70AB473A3AC187372EE8B2563C03C00B95CD2FL" TargetMode="External"/><Relationship Id="rId11" Type="http://schemas.openxmlformats.org/officeDocument/2006/relationships/hyperlink" Target="consultantplus://offline/ref=245F989A6302840369D2E938AEE9A477AF1AC18AD34CDAA378820578564B22B43CAFA9F873AC4C6E638E866B6BB5A1563403C30B89DF66FDC52CL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45F989A6302840369D2E938AEE9A477AF1AC18AD34CDAA378820578564B22B43CAFA9FE72AF473A3AC187372EE8B2563C03C00B95CD2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5F989A6302840369D2E938AEE9A477AF1AC18AD34CDAA378820578564B22B43CAFA9FE73AA473A3AC187372EE8B2563C03C00B95CD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7</cp:revision>
  <cp:lastPrinted>2022-10-24T07:25:00Z</cp:lastPrinted>
  <dcterms:created xsi:type="dcterms:W3CDTF">2019-11-28T13:41:00Z</dcterms:created>
  <dcterms:modified xsi:type="dcterms:W3CDTF">2022-10-24T07:27:00Z</dcterms:modified>
</cp:coreProperties>
</file>