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 </w:t>
            </w:r>
            <w:r w:rsidR="00211FF5">
              <w:rPr>
                <w:sz w:val="22"/>
                <w:szCs w:val="24"/>
              </w:rPr>
              <w:t>27.02</w:t>
            </w:r>
            <w:r w:rsidR="00570D8A">
              <w:rPr>
                <w:sz w:val="22"/>
                <w:szCs w:val="24"/>
              </w:rPr>
              <w:t xml:space="preserve">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211FF5">
              <w:rPr>
                <w:sz w:val="22"/>
                <w:szCs w:val="24"/>
              </w:rPr>
              <w:t>20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FF5">
        <w:rPr>
          <w:rFonts w:ascii="Times New Roman" w:hAnsi="Times New Roman" w:cs="Times New Roman"/>
          <w:b/>
          <w:sz w:val="28"/>
          <w:szCs w:val="28"/>
        </w:rPr>
        <w:t>20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211FF5">
        <w:rPr>
          <w:bCs/>
          <w:sz w:val="24"/>
          <w:szCs w:val="24"/>
        </w:rPr>
        <w:t>27.02</w:t>
      </w:r>
      <w:r w:rsidR="00570D8A">
        <w:rPr>
          <w:bCs/>
          <w:sz w:val="24"/>
          <w:szCs w:val="24"/>
        </w:rPr>
        <w:t>.2018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6977D0">
        <w:rPr>
          <w:bCs/>
          <w:sz w:val="24"/>
          <w:szCs w:val="24"/>
        </w:rPr>
        <w:t>3</w:t>
      </w:r>
      <w:r w:rsidR="00211FF5">
        <w:rPr>
          <w:bCs/>
          <w:sz w:val="24"/>
          <w:szCs w:val="24"/>
        </w:rPr>
        <w:t>2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</w:t>
      </w:r>
      <w:r w:rsidR="00211FF5">
        <w:rPr>
          <w:bCs/>
          <w:sz w:val="24"/>
          <w:szCs w:val="24"/>
        </w:rPr>
        <w:t>2</w:t>
      </w:r>
      <w:r w:rsidR="00570D8A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211FF5">
        <w:rPr>
          <w:bCs/>
          <w:sz w:val="24"/>
          <w:szCs w:val="24"/>
        </w:rPr>
        <w:t>2</w:t>
      </w:r>
      <w:r w:rsidR="00570D8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9-2021</w:t>
      </w:r>
      <w:r w:rsidR="00570D8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6977D0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211FF5">
        <w:rPr>
          <w:bCs/>
          <w:sz w:val="24"/>
          <w:szCs w:val="24"/>
        </w:rPr>
        <w:t>27.02</w:t>
      </w:r>
      <w:r w:rsidR="00570D8A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211FF5">
        <w:rPr>
          <w:bCs/>
          <w:sz w:val="24"/>
          <w:szCs w:val="24"/>
        </w:rPr>
        <w:t>27.02</w:t>
      </w:r>
      <w:r w:rsidR="00570D8A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211FF5">
        <w:rPr>
          <w:sz w:val="24"/>
          <w:szCs w:val="24"/>
        </w:rPr>
        <w:t>27.02</w:t>
      </w:r>
      <w:r w:rsidR="00570D8A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211FF5">
        <w:rPr>
          <w:bCs/>
          <w:sz w:val="24"/>
          <w:szCs w:val="24"/>
        </w:rPr>
        <w:t>2</w:t>
      </w:r>
      <w:r w:rsidR="00570D8A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2C7B" w:rsidRPr="00692F28">
        <w:rPr>
          <w:sz w:val="24"/>
          <w:szCs w:val="24"/>
        </w:rPr>
        <w:t xml:space="preserve">с </w:t>
      </w:r>
      <w:r w:rsidR="00762C7B">
        <w:rPr>
          <w:sz w:val="24"/>
          <w:szCs w:val="24"/>
        </w:rPr>
        <w:t xml:space="preserve">решением </w:t>
      </w:r>
      <w:r w:rsidR="00762C7B" w:rsidRPr="00692F28">
        <w:rPr>
          <w:sz w:val="24"/>
          <w:szCs w:val="24"/>
        </w:rPr>
        <w:t xml:space="preserve">Думы </w:t>
      </w:r>
      <w:proofErr w:type="spellStart"/>
      <w:r w:rsidR="00762C7B" w:rsidRPr="00692F28">
        <w:rPr>
          <w:sz w:val="24"/>
          <w:szCs w:val="24"/>
        </w:rPr>
        <w:t>Поддорского</w:t>
      </w:r>
      <w:proofErr w:type="spellEnd"/>
      <w:r w:rsidR="00762C7B" w:rsidRPr="00692F28">
        <w:rPr>
          <w:sz w:val="24"/>
          <w:szCs w:val="24"/>
        </w:rPr>
        <w:t xml:space="preserve"> муниципального района </w:t>
      </w:r>
      <w:r w:rsidR="00762C7B">
        <w:rPr>
          <w:sz w:val="24"/>
          <w:szCs w:val="24"/>
        </w:rPr>
        <w:t xml:space="preserve">от </w:t>
      </w:r>
      <w:r w:rsidR="00211FF5">
        <w:rPr>
          <w:sz w:val="24"/>
          <w:szCs w:val="24"/>
        </w:rPr>
        <w:t>20.02.2019 № 219 «О</w:t>
      </w:r>
      <w:proofErr w:type="gramEnd"/>
      <w:r w:rsidR="00211FF5">
        <w:rPr>
          <w:sz w:val="24"/>
          <w:szCs w:val="24"/>
        </w:rPr>
        <w:t xml:space="preserve"> </w:t>
      </w:r>
      <w:proofErr w:type="gramStart"/>
      <w:r w:rsidR="00211FF5">
        <w:rPr>
          <w:sz w:val="24"/>
          <w:szCs w:val="24"/>
        </w:rPr>
        <w:t>внесении</w:t>
      </w:r>
      <w:proofErr w:type="gramEnd"/>
      <w:r w:rsidR="00211FF5">
        <w:rPr>
          <w:sz w:val="24"/>
          <w:szCs w:val="24"/>
        </w:rPr>
        <w:t xml:space="preserve"> изменений в решение Думы </w:t>
      </w:r>
      <w:proofErr w:type="spellStart"/>
      <w:r w:rsidR="00211FF5">
        <w:rPr>
          <w:sz w:val="24"/>
          <w:szCs w:val="24"/>
        </w:rPr>
        <w:t>Поддорского</w:t>
      </w:r>
      <w:proofErr w:type="spellEnd"/>
      <w:r w:rsidR="00211FF5">
        <w:rPr>
          <w:sz w:val="24"/>
          <w:szCs w:val="24"/>
        </w:rPr>
        <w:t xml:space="preserve"> муниципального района</w:t>
      </w:r>
      <w:r w:rsidR="00211FF5" w:rsidRPr="00765ED4">
        <w:rPr>
          <w:sz w:val="24"/>
          <w:szCs w:val="24"/>
        </w:rPr>
        <w:t xml:space="preserve"> </w:t>
      </w:r>
      <w:r w:rsidR="00211FF5">
        <w:rPr>
          <w:sz w:val="24"/>
          <w:szCs w:val="24"/>
        </w:rPr>
        <w:t xml:space="preserve">от 14.12.2018 № 207  </w:t>
      </w:r>
      <w:r w:rsidR="00211FF5" w:rsidRPr="00692F28">
        <w:rPr>
          <w:sz w:val="24"/>
          <w:szCs w:val="24"/>
        </w:rPr>
        <w:t xml:space="preserve">«О бюджете </w:t>
      </w:r>
      <w:proofErr w:type="spellStart"/>
      <w:r w:rsidR="00211FF5">
        <w:rPr>
          <w:sz w:val="24"/>
          <w:szCs w:val="24"/>
        </w:rPr>
        <w:t>Поддорского</w:t>
      </w:r>
      <w:proofErr w:type="spellEnd"/>
      <w:r w:rsidR="00211FF5" w:rsidRPr="00692F28">
        <w:rPr>
          <w:sz w:val="24"/>
          <w:szCs w:val="24"/>
        </w:rPr>
        <w:t xml:space="preserve"> муниципального района на 201</w:t>
      </w:r>
      <w:r w:rsidR="00211FF5">
        <w:rPr>
          <w:sz w:val="24"/>
          <w:szCs w:val="24"/>
        </w:rPr>
        <w:t>9</w:t>
      </w:r>
      <w:r w:rsidR="00211FF5" w:rsidRPr="00692F28">
        <w:rPr>
          <w:sz w:val="24"/>
          <w:szCs w:val="24"/>
        </w:rPr>
        <w:t xml:space="preserve"> год и на плановый период 20</w:t>
      </w:r>
      <w:r w:rsidR="00211FF5">
        <w:rPr>
          <w:sz w:val="24"/>
          <w:szCs w:val="24"/>
        </w:rPr>
        <w:t>20</w:t>
      </w:r>
      <w:r w:rsidR="00211FF5" w:rsidRPr="00692F28">
        <w:rPr>
          <w:sz w:val="24"/>
          <w:szCs w:val="24"/>
        </w:rPr>
        <w:t xml:space="preserve"> и 20</w:t>
      </w:r>
      <w:r w:rsidR="00211FF5">
        <w:rPr>
          <w:sz w:val="24"/>
          <w:szCs w:val="24"/>
        </w:rPr>
        <w:t>21</w:t>
      </w:r>
      <w:r w:rsidR="00211FF5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43" w:type="dxa"/>
        <w:tblInd w:w="88" w:type="dxa"/>
        <w:tblLayout w:type="fixed"/>
        <w:tblLook w:val="04A0"/>
      </w:tblPr>
      <w:tblGrid>
        <w:gridCol w:w="1721"/>
        <w:gridCol w:w="993"/>
        <w:gridCol w:w="992"/>
        <w:gridCol w:w="992"/>
        <w:gridCol w:w="992"/>
        <w:gridCol w:w="1276"/>
        <w:gridCol w:w="992"/>
        <w:gridCol w:w="993"/>
        <w:gridCol w:w="992"/>
      </w:tblGrid>
      <w:tr w:rsidR="004535C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F2C44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</w:tr>
      <w:tr w:rsidR="00DF2C44" w:rsidRPr="00692F28" w:rsidTr="001939B1">
        <w:trPr>
          <w:trHeight w:val="537"/>
        </w:trPr>
        <w:tc>
          <w:tcPr>
            <w:tcW w:w="9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FA2547" w:rsidRDefault="00DF2C44" w:rsidP="00DF2C4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CC29E3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9E3" w:rsidRPr="00692F28" w:rsidRDefault="00CC29E3" w:rsidP="00CC29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</w:t>
            </w:r>
            <w:r w:rsidRPr="00692F28">
              <w:rPr>
                <w:color w:val="000000"/>
              </w:rPr>
              <w:t xml:space="preserve">от  </w:t>
            </w:r>
            <w:r>
              <w:rPr>
                <w:color w:val="000000"/>
              </w:rPr>
              <w:t>22.01.2019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Pr="00692F28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Pr="00692F28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Pr="00692F28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Pr="00692F28" w:rsidRDefault="00CC29E3" w:rsidP="003025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2 116 300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C29E3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9E3" w:rsidRDefault="00CC29E3" w:rsidP="003025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1 813 500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Default="00DF2C44" w:rsidP="00CC29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CC29E3">
              <w:rPr>
                <w:color w:val="000000"/>
                <w:sz w:val="18"/>
                <w:szCs w:val="18"/>
              </w:rPr>
              <w:t>20.02</w:t>
            </w:r>
            <w:r>
              <w:rPr>
                <w:color w:val="000000"/>
                <w:sz w:val="18"/>
                <w:szCs w:val="18"/>
              </w:rPr>
              <w:t>.201</w:t>
            </w:r>
            <w:r w:rsidR="00CC29E3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№ 2</w:t>
            </w:r>
            <w:r w:rsidR="00CC29E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007B78" w:rsidRDefault="00DF2C44" w:rsidP="00007B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  <w:r w:rsidR="00B14179">
              <w:rPr>
                <w:color w:val="000000"/>
                <w:sz w:val="18"/>
                <w:szCs w:val="18"/>
              </w:rPr>
              <w:t>094</w:t>
            </w:r>
            <w:r>
              <w:rPr>
                <w:color w:val="000000"/>
                <w:sz w:val="18"/>
                <w:szCs w:val="18"/>
              </w:rPr>
              <w:t xml:space="preserve">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B14179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</w:t>
            </w:r>
            <w:r w:rsidR="00B14179">
              <w:rPr>
                <w:color w:val="000000"/>
                <w:sz w:val="18"/>
                <w:szCs w:val="18"/>
              </w:rPr>
              <w:t>791</w:t>
            </w:r>
            <w:r>
              <w:rPr>
                <w:color w:val="000000"/>
                <w:sz w:val="18"/>
                <w:szCs w:val="18"/>
              </w:rPr>
              <w:t xml:space="preserve"> 500</w:t>
            </w:r>
          </w:p>
        </w:tc>
      </w:tr>
      <w:tr w:rsidR="001517F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517F6" w:rsidRPr="00692F28" w:rsidRDefault="001517F6" w:rsidP="00CC29E3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 w:rsidR="00CC29E3">
              <w:rPr>
                <w:color w:val="000000"/>
                <w:sz w:val="18"/>
                <w:szCs w:val="18"/>
              </w:rPr>
              <w:t>2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CC29E3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2  094 300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CC29E3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517F6" w:rsidRDefault="00CC29E3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535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CC29E3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-22 000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1517F6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CC29E3">
              <w:rPr>
                <w:color w:val="000000"/>
                <w:sz w:val="18"/>
                <w:szCs w:val="18"/>
              </w:rPr>
              <w:t>22 000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CC29E3">
              <w:rPr>
                <w:color w:val="000000"/>
                <w:sz w:val="18"/>
                <w:szCs w:val="18"/>
              </w:rPr>
              <w:t>22 000</w:t>
            </w:r>
          </w:p>
        </w:tc>
      </w:tr>
    </w:tbl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DF2C4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B14179">
        <w:rPr>
          <w:sz w:val="24"/>
          <w:szCs w:val="24"/>
        </w:rPr>
        <w:t>16 583 910,60</w:t>
      </w:r>
      <w:r w:rsidR="00B14179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B14179">
        <w:rPr>
          <w:sz w:val="24"/>
          <w:szCs w:val="24"/>
        </w:rPr>
        <w:t>меньше</w:t>
      </w:r>
      <w:r w:rsidR="004C78D8" w:rsidRPr="00692F28">
        <w:rPr>
          <w:sz w:val="24"/>
          <w:szCs w:val="24"/>
        </w:rPr>
        <w:t>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1517F6">
        <w:rPr>
          <w:sz w:val="24"/>
          <w:szCs w:val="24"/>
        </w:rPr>
        <w:t>16 </w:t>
      </w:r>
      <w:r w:rsidR="00B14179">
        <w:rPr>
          <w:sz w:val="24"/>
          <w:szCs w:val="24"/>
        </w:rPr>
        <w:t>517</w:t>
      </w:r>
      <w:r w:rsidR="001517F6">
        <w:rPr>
          <w:sz w:val="24"/>
          <w:szCs w:val="24"/>
        </w:rPr>
        <w:t> 910,60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>у</w:t>
      </w:r>
      <w:r w:rsidR="00B14179">
        <w:rPr>
          <w:sz w:val="24"/>
          <w:szCs w:val="24"/>
        </w:rPr>
        <w:t xml:space="preserve">меньшение </w:t>
      </w:r>
      <w:r w:rsidR="00471D5D">
        <w:rPr>
          <w:sz w:val="24"/>
          <w:szCs w:val="24"/>
        </w:rPr>
        <w:t xml:space="preserve"> </w:t>
      </w:r>
      <w:r w:rsidR="004C78D8" w:rsidRPr="00692F28">
        <w:rPr>
          <w:sz w:val="24"/>
          <w:szCs w:val="24"/>
        </w:rPr>
        <w:t>201</w:t>
      </w:r>
      <w:r w:rsidR="001517F6">
        <w:rPr>
          <w:sz w:val="24"/>
          <w:szCs w:val="24"/>
        </w:rPr>
        <w:t xml:space="preserve">9 </w:t>
      </w:r>
      <w:r w:rsidR="004C78D8" w:rsidRPr="00692F28">
        <w:rPr>
          <w:sz w:val="24"/>
          <w:szCs w:val="24"/>
        </w:rPr>
        <w:t xml:space="preserve">год </w:t>
      </w:r>
      <w:r w:rsidRPr="00692F28">
        <w:rPr>
          <w:sz w:val="24"/>
          <w:szCs w:val="24"/>
        </w:rPr>
        <w:t xml:space="preserve">на сумму   </w:t>
      </w:r>
      <w:r w:rsidR="00B14179">
        <w:rPr>
          <w:sz w:val="24"/>
          <w:szCs w:val="24"/>
        </w:rPr>
        <w:t xml:space="preserve">22 000 </w:t>
      </w:r>
      <w:r w:rsidR="006F41D4">
        <w:rPr>
          <w:sz w:val="24"/>
          <w:szCs w:val="24"/>
        </w:rPr>
        <w:t>рублей,</w:t>
      </w:r>
      <w:r w:rsidR="006F41D4" w:rsidRPr="006F41D4">
        <w:rPr>
          <w:sz w:val="24"/>
          <w:szCs w:val="24"/>
        </w:rPr>
        <w:t xml:space="preserve"> </w:t>
      </w:r>
      <w:r w:rsidR="006F41D4">
        <w:rPr>
          <w:sz w:val="24"/>
          <w:szCs w:val="24"/>
        </w:rPr>
        <w:t xml:space="preserve"> </w:t>
      </w:r>
      <w:r w:rsidR="001517F6">
        <w:rPr>
          <w:sz w:val="24"/>
          <w:szCs w:val="24"/>
        </w:rPr>
        <w:t>уменьшение 2020</w:t>
      </w:r>
      <w:r w:rsidR="006F41D4" w:rsidRPr="00692F28">
        <w:rPr>
          <w:sz w:val="24"/>
          <w:szCs w:val="24"/>
        </w:rPr>
        <w:t xml:space="preserve"> год </w:t>
      </w:r>
      <w:r w:rsidR="001517F6">
        <w:rPr>
          <w:sz w:val="24"/>
          <w:szCs w:val="24"/>
        </w:rPr>
        <w:t xml:space="preserve">на сумму </w:t>
      </w:r>
      <w:r w:rsidR="00B14179">
        <w:rPr>
          <w:sz w:val="24"/>
          <w:szCs w:val="24"/>
        </w:rPr>
        <w:t>22 000</w:t>
      </w:r>
      <w:r w:rsidR="001517F6">
        <w:rPr>
          <w:sz w:val="24"/>
          <w:szCs w:val="24"/>
        </w:rPr>
        <w:t xml:space="preserve"> рублей </w:t>
      </w:r>
      <w:r w:rsidR="00007B78">
        <w:rPr>
          <w:sz w:val="24"/>
          <w:szCs w:val="24"/>
        </w:rPr>
        <w:t>и</w:t>
      </w:r>
      <w:r w:rsidR="006F41D4">
        <w:rPr>
          <w:sz w:val="24"/>
          <w:szCs w:val="24"/>
        </w:rPr>
        <w:t xml:space="preserve"> </w:t>
      </w:r>
      <w:r w:rsidR="001517F6">
        <w:rPr>
          <w:sz w:val="24"/>
          <w:szCs w:val="24"/>
        </w:rPr>
        <w:t xml:space="preserve">уменьшение </w:t>
      </w:r>
      <w:r w:rsidR="006F41D4" w:rsidRPr="00692F28">
        <w:rPr>
          <w:sz w:val="24"/>
          <w:szCs w:val="24"/>
        </w:rPr>
        <w:t>20</w:t>
      </w:r>
      <w:r w:rsidR="006F41D4">
        <w:rPr>
          <w:sz w:val="24"/>
          <w:szCs w:val="24"/>
        </w:rPr>
        <w:t>2</w:t>
      </w:r>
      <w:r w:rsidR="001517F6">
        <w:rPr>
          <w:sz w:val="24"/>
          <w:szCs w:val="24"/>
        </w:rPr>
        <w:t>1</w:t>
      </w:r>
      <w:r w:rsidR="006F41D4" w:rsidRPr="00692F28">
        <w:rPr>
          <w:sz w:val="24"/>
          <w:szCs w:val="24"/>
        </w:rPr>
        <w:t xml:space="preserve"> год</w:t>
      </w:r>
      <w:r w:rsidR="001517F6">
        <w:rPr>
          <w:sz w:val="24"/>
          <w:szCs w:val="24"/>
        </w:rPr>
        <w:t xml:space="preserve"> на сумму </w:t>
      </w:r>
      <w:r w:rsidR="00B14179">
        <w:rPr>
          <w:sz w:val="24"/>
          <w:szCs w:val="24"/>
        </w:rPr>
        <w:t>22 000</w:t>
      </w:r>
      <w:r w:rsidR="001517F6">
        <w:rPr>
          <w:sz w:val="24"/>
          <w:szCs w:val="24"/>
        </w:rPr>
        <w:t xml:space="preserve"> рублей</w:t>
      </w:r>
      <w:r w:rsidR="006F41D4">
        <w:rPr>
          <w:sz w:val="24"/>
          <w:szCs w:val="24"/>
        </w:rPr>
        <w:t>.</w:t>
      </w:r>
      <w:proofErr w:type="gramEnd"/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</w:t>
      </w:r>
    </w:p>
    <w:p w:rsidR="007E03E8" w:rsidRDefault="0063656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58 000</w:t>
      </w:r>
      <w:r w:rsidR="003145FD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рублей,</w:t>
      </w:r>
      <w:r w:rsidR="00341FBF" w:rsidRPr="00692F28">
        <w:rPr>
          <w:sz w:val="24"/>
          <w:szCs w:val="24"/>
        </w:rPr>
        <w:t xml:space="preserve">   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2020 год – 58 000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58 000 рублей.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7E03E8" w:rsidRDefault="005B75A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18 000</w:t>
      </w:r>
      <w:r w:rsidR="00897C80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>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38 500 рублей</w:t>
      </w:r>
      <w:r w:rsidRPr="00692F28"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7E03E8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 w:rsidR="00BF0E5A">
        <w:rPr>
          <w:sz w:val="24"/>
          <w:szCs w:val="24"/>
        </w:rPr>
        <w:t>1 500</w:t>
      </w:r>
      <w:r w:rsidRPr="00692F28">
        <w:rPr>
          <w:sz w:val="24"/>
          <w:szCs w:val="24"/>
        </w:rPr>
        <w:t xml:space="preserve"> 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r w:rsidR="00B14179" w:rsidRPr="00B14179">
        <w:rPr>
          <w:i/>
          <w:sz w:val="24"/>
          <w:szCs w:val="24"/>
        </w:rPr>
        <w:t xml:space="preserve">(уменьшение плановых показателей финансирования связано с </w:t>
      </w:r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созданием МБУ «Центр обслуживания учреждений культуры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района» (Постановление Администрации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 от 04.02.2019 № 53</w:t>
      </w:r>
      <w:r w:rsidR="00B14179">
        <w:rPr>
          <w:rFonts w:ascii="Times New Roman CYR" w:hAnsi="Times New Roman CYR" w:cs="Times New Roman CYR"/>
          <w:sz w:val="24"/>
          <w:szCs w:val="24"/>
        </w:rPr>
        <w:t>)</w:t>
      </w:r>
      <w:proofErr w:type="gramEnd"/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7E03E8">
        <w:rPr>
          <w:sz w:val="24"/>
          <w:szCs w:val="24"/>
        </w:rPr>
        <w:t>2 0</w:t>
      </w:r>
      <w:r w:rsidR="00B14179">
        <w:rPr>
          <w:sz w:val="24"/>
          <w:szCs w:val="24"/>
        </w:rPr>
        <w:t>36</w:t>
      </w:r>
      <w:r w:rsidR="007E03E8">
        <w:rPr>
          <w:sz w:val="24"/>
          <w:szCs w:val="24"/>
        </w:rPr>
        <w:t xml:space="preserve"> 300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B14179">
        <w:rPr>
          <w:sz w:val="24"/>
          <w:szCs w:val="24"/>
        </w:rPr>
        <w:t xml:space="preserve"> (</w:t>
      </w:r>
      <w:r w:rsidR="00B14179" w:rsidRPr="00B14179">
        <w:rPr>
          <w:i/>
          <w:sz w:val="24"/>
          <w:szCs w:val="24"/>
        </w:rPr>
        <w:t>уменьшение на 22 000 рублей</w:t>
      </w:r>
      <w:r w:rsidR="00B14179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10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B14179">
        <w:rPr>
          <w:sz w:val="24"/>
          <w:szCs w:val="24"/>
        </w:rPr>
        <w:t xml:space="preserve"> (</w:t>
      </w:r>
      <w:r w:rsidR="00B14179" w:rsidRPr="00B14179">
        <w:rPr>
          <w:i/>
          <w:sz w:val="24"/>
          <w:szCs w:val="24"/>
        </w:rPr>
        <w:t>уменьшение на 22 000 рублей</w:t>
      </w:r>
      <w:r w:rsidR="00B14179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33</w:t>
      </w:r>
      <w:r>
        <w:rPr>
          <w:sz w:val="24"/>
          <w:szCs w:val="24"/>
        </w:rPr>
        <w:t xml:space="preserve"> 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B14179">
        <w:rPr>
          <w:sz w:val="24"/>
          <w:szCs w:val="24"/>
        </w:rPr>
        <w:t xml:space="preserve"> (</w:t>
      </w:r>
      <w:r w:rsidR="00B14179" w:rsidRPr="00B14179">
        <w:rPr>
          <w:i/>
          <w:sz w:val="24"/>
          <w:szCs w:val="24"/>
        </w:rPr>
        <w:t>уменьшение на 22 000 рублей</w:t>
      </w:r>
      <w:r w:rsidR="00B14179">
        <w:rPr>
          <w:sz w:val="24"/>
          <w:szCs w:val="24"/>
        </w:rPr>
        <w:t>)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7E03E8" w:rsidRPr="00692F28" w:rsidRDefault="007E03E8" w:rsidP="00900224">
      <w:pPr>
        <w:ind w:right="43"/>
        <w:jc w:val="both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Pr="00692F28" w:rsidRDefault="007E03E8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279E5"/>
    <w:rsid w:val="0005617B"/>
    <w:rsid w:val="00080758"/>
    <w:rsid w:val="000C054D"/>
    <w:rsid w:val="000C3C1D"/>
    <w:rsid w:val="00115706"/>
    <w:rsid w:val="001517F6"/>
    <w:rsid w:val="00160FF1"/>
    <w:rsid w:val="001939B1"/>
    <w:rsid w:val="001F7DD4"/>
    <w:rsid w:val="00211FF5"/>
    <w:rsid w:val="00224ED7"/>
    <w:rsid w:val="002F5CA2"/>
    <w:rsid w:val="00303E75"/>
    <w:rsid w:val="0031338F"/>
    <w:rsid w:val="003145FD"/>
    <w:rsid w:val="00316E67"/>
    <w:rsid w:val="00334512"/>
    <w:rsid w:val="00341FBF"/>
    <w:rsid w:val="0039588B"/>
    <w:rsid w:val="004535C6"/>
    <w:rsid w:val="004563AB"/>
    <w:rsid w:val="00471D5D"/>
    <w:rsid w:val="004C2C7F"/>
    <w:rsid w:val="004C2EDE"/>
    <w:rsid w:val="004C78D8"/>
    <w:rsid w:val="0053742D"/>
    <w:rsid w:val="00557095"/>
    <w:rsid w:val="00570D8A"/>
    <w:rsid w:val="0058396B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5178C"/>
    <w:rsid w:val="00A5758D"/>
    <w:rsid w:val="00A844EB"/>
    <w:rsid w:val="00AC0995"/>
    <w:rsid w:val="00B14179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CC29E3"/>
    <w:rsid w:val="00D01373"/>
    <w:rsid w:val="00D215E4"/>
    <w:rsid w:val="00D31C36"/>
    <w:rsid w:val="00D72354"/>
    <w:rsid w:val="00DE434A"/>
    <w:rsid w:val="00DF2C44"/>
    <w:rsid w:val="00E46F3D"/>
    <w:rsid w:val="00E91B33"/>
    <w:rsid w:val="00E92585"/>
    <w:rsid w:val="00EB39A6"/>
    <w:rsid w:val="00F23949"/>
    <w:rsid w:val="00F83CE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26FC2-01B9-4267-B36C-522A1E60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34</cp:revision>
  <cp:lastPrinted>2017-02-01T12:42:00Z</cp:lastPrinted>
  <dcterms:created xsi:type="dcterms:W3CDTF">2017-01-30T11:35:00Z</dcterms:created>
  <dcterms:modified xsi:type="dcterms:W3CDTF">2019-02-27T13:22:00Z</dcterms:modified>
</cp:coreProperties>
</file>