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DB" w:rsidRPr="00673698" w:rsidRDefault="003929DB" w:rsidP="003929DB">
      <w:pPr>
        <w:rPr>
          <w:sz w:val="24"/>
          <w:szCs w:val="24"/>
        </w:rPr>
      </w:pPr>
    </w:p>
    <w:p w:rsidR="003929DB" w:rsidRPr="00673698" w:rsidRDefault="003929DB" w:rsidP="003929DB">
      <w:pPr>
        <w:rPr>
          <w:b/>
          <w:bCs/>
          <w:sz w:val="24"/>
          <w:szCs w:val="24"/>
        </w:rPr>
      </w:pPr>
    </w:p>
    <w:p w:rsidR="003929DB" w:rsidRPr="00673698" w:rsidRDefault="003929DB" w:rsidP="003929DB">
      <w:pPr>
        <w:rPr>
          <w:b/>
          <w:bCs/>
          <w:sz w:val="24"/>
          <w:szCs w:val="24"/>
        </w:rPr>
      </w:pPr>
      <w:r w:rsidRPr="00673698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2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9DB" w:rsidRPr="00673698" w:rsidRDefault="003929DB" w:rsidP="003929DB">
      <w:pPr>
        <w:rPr>
          <w:b/>
          <w:bCs/>
          <w:sz w:val="24"/>
          <w:szCs w:val="24"/>
        </w:rPr>
      </w:pPr>
    </w:p>
    <w:p w:rsidR="003929DB" w:rsidRPr="00673698" w:rsidRDefault="003929DB" w:rsidP="003929DB">
      <w:pPr>
        <w:rPr>
          <w:b/>
          <w:bCs/>
          <w:sz w:val="24"/>
          <w:szCs w:val="24"/>
        </w:rPr>
      </w:pPr>
    </w:p>
    <w:p w:rsidR="003929DB" w:rsidRPr="00673698" w:rsidRDefault="003929DB" w:rsidP="003929DB">
      <w:pPr>
        <w:jc w:val="both"/>
        <w:rPr>
          <w:b/>
          <w:bCs/>
          <w:sz w:val="28"/>
          <w:szCs w:val="28"/>
        </w:rPr>
      </w:pPr>
      <w:r w:rsidRPr="0067369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73698">
        <w:rPr>
          <w:b/>
          <w:bCs/>
          <w:sz w:val="28"/>
          <w:szCs w:val="28"/>
        </w:rPr>
        <w:t>Поддорского</w:t>
      </w:r>
      <w:proofErr w:type="spellEnd"/>
      <w:r w:rsidRPr="00673698">
        <w:rPr>
          <w:b/>
          <w:bCs/>
          <w:sz w:val="28"/>
          <w:szCs w:val="28"/>
        </w:rPr>
        <w:t xml:space="preserve"> муниципального района</w:t>
      </w:r>
    </w:p>
    <w:p w:rsidR="003929DB" w:rsidRPr="00673698" w:rsidRDefault="003929DB" w:rsidP="003929DB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673698">
        <w:rPr>
          <w:sz w:val="24"/>
          <w:szCs w:val="24"/>
        </w:rPr>
        <w:t>Новгородская область, с. Поддорье, ул</w:t>
      </w:r>
      <w:proofErr w:type="gramStart"/>
      <w:r w:rsidRPr="00673698">
        <w:rPr>
          <w:sz w:val="24"/>
          <w:szCs w:val="24"/>
        </w:rPr>
        <w:t>.О</w:t>
      </w:r>
      <w:proofErr w:type="gramEnd"/>
      <w:r w:rsidRPr="00673698">
        <w:rPr>
          <w:sz w:val="24"/>
          <w:szCs w:val="24"/>
        </w:rPr>
        <w:t>ктябрьская,д.26 175260  тел.(факс)8816-58-71-418</w:t>
      </w:r>
    </w:p>
    <w:p w:rsidR="003929DB" w:rsidRPr="00673698" w:rsidRDefault="003929DB" w:rsidP="003929DB">
      <w:pPr>
        <w:pBdr>
          <w:bottom w:val="single" w:sz="12" w:space="1" w:color="auto"/>
        </w:pBdr>
        <w:rPr>
          <w:sz w:val="24"/>
          <w:szCs w:val="24"/>
          <w:lang w:val="en-US"/>
        </w:rPr>
      </w:pPr>
      <w:r w:rsidRPr="00673698">
        <w:rPr>
          <w:sz w:val="24"/>
          <w:szCs w:val="24"/>
        </w:rPr>
        <w:t xml:space="preserve">  </w:t>
      </w:r>
      <w:r w:rsidRPr="00673698">
        <w:rPr>
          <w:b/>
          <w:sz w:val="24"/>
          <w:szCs w:val="24"/>
          <w:u w:val="single"/>
          <w:lang w:val="en-US"/>
        </w:rPr>
        <w:t xml:space="preserve">E- mail: sp.pod2012@yandex.ru_________________________________________________  </w:t>
      </w:r>
      <w:r w:rsidRPr="00673698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404" w:type="pct"/>
        <w:tblLook w:val="0000"/>
      </w:tblPr>
      <w:tblGrid>
        <w:gridCol w:w="4399"/>
        <w:gridCol w:w="5174"/>
        <w:gridCol w:w="5174"/>
        <w:gridCol w:w="5170"/>
      </w:tblGrid>
      <w:tr w:rsidR="003929DB" w:rsidRPr="00673698" w:rsidTr="00836108">
        <w:tc>
          <w:tcPr>
            <w:tcW w:w="1104" w:type="pct"/>
          </w:tcPr>
          <w:p w:rsidR="003929DB" w:rsidRPr="00673698" w:rsidRDefault="003929DB" w:rsidP="00836108">
            <w:pPr>
              <w:rPr>
                <w:sz w:val="24"/>
                <w:szCs w:val="24"/>
                <w:lang w:val="en-US"/>
              </w:rPr>
            </w:pPr>
          </w:p>
          <w:p w:rsidR="003929DB" w:rsidRPr="00673698" w:rsidRDefault="003929DB" w:rsidP="00836108">
            <w:pPr>
              <w:rPr>
                <w:sz w:val="24"/>
                <w:szCs w:val="24"/>
              </w:rPr>
            </w:pPr>
            <w:r w:rsidRPr="00673698">
              <w:rPr>
                <w:sz w:val="24"/>
                <w:szCs w:val="24"/>
              </w:rPr>
              <w:t>от   0</w:t>
            </w:r>
            <w:r>
              <w:rPr>
                <w:sz w:val="24"/>
                <w:szCs w:val="24"/>
              </w:rPr>
              <w:t>7.02.2017        № 15</w:t>
            </w:r>
          </w:p>
          <w:p w:rsidR="003929DB" w:rsidRPr="00673698" w:rsidRDefault="003929DB" w:rsidP="00836108">
            <w:pPr>
              <w:rPr>
                <w:sz w:val="24"/>
                <w:szCs w:val="24"/>
              </w:rPr>
            </w:pPr>
            <w:r w:rsidRPr="00673698">
              <w:rPr>
                <w:sz w:val="24"/>
                <w:szCs w:val="24"/>
              </w:rPr>
              <w:t>На  № __________ от _____________</w:t>
            </w:r>
          </w:p>
          <w:p w:rsidR="003929DB" w:rsidRPr="00673698" w:rsidRDefault="003929DB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299" w:type="pct"/>
          </w:tcPr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  <w:r w:rsidRPr="00673698">
              <w:rPr>
                <w:b/>
                <w:sz w:val="24"/>
                <w:szCs w:val="24"/>
              </w:rPr>
              <w:t>Первому заместителю главы Администрации муниципального района</w:t>
            </w:r>
          </w:p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  <w:r w:rsidRPr="00673698">
              <w:rPr>
                <w:b/>
                <w:sz w:val="24"/>
                <w:szCs w:val="24"/>
              </w:rPr>
              <w:t xml:space="preserve"> Паниной Е.В.,</w:t>
            </w:r>
          </w:p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  <w:r w:rsidRPr="00673698">
              <w:rPr>
                <w:b/>
                <w:sz w:val="24"/>
                <w:szCs w:val="24"/>
              </w:rPr>
              <w:t xml:space="preserve">Зав. отделом архитектуры и градостроительства Администрации </w:t>
            </w:r>
            <w:proofErr w:type="spellStart"/>
            <w:r w:rsidRPr="0067369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73698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  <w:r w:rsidRPr="00673698">
              <w:rPr>
                <w:b/>
                <w:sz w:val="24"/>
                <w:szCs w:val="24"/>
              </w:rPr>
              <w:t>Трофимовой Е.В.</w:t>
            </w:r>
          </w:p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</w:p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9" w:type="pct"/>
          </w:tcPr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</w:tcPr>
          <w:p w:rsidR="003929DB" w:rsidRPr="00673698" w:rsidRDefault="003929DB" w:rsidP="0083610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929DB" w:rsidRPr="00673698" w:rsidRDefault="003929DB" w:rsidP="003929DB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 w:val="24"/>
          <w:szCs w:val="24"/>
        </w:rPr>
      </w:pPr>
      <w:r w:rsidRPr="00673698">
        <w:rPr>
          <w:b/>
          <w:sz w:val="24"/>
          <w:szCs w:val="24"/>
        </w:rPr>
        <w:tab/>
      </w:r>
    </w:p>
    <w:p w:rsidR="003929DB" w:rsidRPr="00673698" w:rsidRDefault="003929DB" w:rsidP="008E1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69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E184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Pr="00673698">
        <w:rPr>
          <w:rFonts w:ascii="Times New Roman" w:hAnsi="Times New Roman" w:cs="Times New Roman"/>
          <w:b/>
          <w:sz w:val="24"/>
          <w:szCs w:val="24"/>
        </w:rPr>
        <w:t xml:space="preserve">  Заключение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№ 15</w:t>
      </w:r>
    </w:p>
    <w:p w:rsidR="003929DB" w:rsidRPr="00673698" w:rsidRDefault="003929DB" w:rsidP="008E184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  <w:lang w:eastAsia="en-US"/>
        </w:rPr>
      </w:pPr>
      <w:r w:rsidRPr="00673698">
        <w:rPr>
          <w:b/>
          <w:sz w:val="24"/>
          <w:szCs w:val="24"/>
        </w:rPr>
        <w:t xml:space="preserve">на проект постановления   «О внесении изменений </w:t>
      </w:r>
      <w:r w:rsidR="008E184B">
        <w:rPr>
          <w:b/>
          <w:sz w:val="24"/>
          <w:szCs w:val="24"/>
        </w:rPr>
        <w:t xml:space="preserve">в  </w:t>
      </w:r>
      <w:r w:rsidRPr="00673698">
        <w:rPr>
          <w:b/>
          <w:sz w:val="24"/>
          <w:szCs w:val="24"/>
        </w:rPr>
        <w:t>муниципальн</w:t>
      </w:r>
      <w:r w:rsidR="008E184B">
        <w:rPr>
          <w:b/>
          <w:sz w:val="24"/>
          <w:szCs w:val="24"/>
        </w:rPr>
        <w:t>ую</w:t>
      </w:r>
      <w:r w:rsidRPr="00673698">
        <w:rPr>
          <w:b/>
          <w:sz w:val="24"/>
          <w:szCs w:val="24"/>
        </w:rPr>
        <w:t xml:space="preserve"> программ</w:t>
      </w:r>
      <w:r w:rsidR="008E184B">
        <w:rPr>
          <w:b/>
          <w:sz w:val="24"/>
          <w:szCs w:val="24"/>
        </w:rPr>
        <w:t>у</w:t>
      </w:r>
      <w:r w:rsidRPr="00673698">
        <w:rPr>
          <w:b/>
          <w:sz w:val="24"/>
          <w:szCs w:val="24"/>
        </w:rPr>
        <w:t xml:space="preserve">  </w:t>
      </w:r>
      <w:proofErr w:type="spellStart"/>
      <w:r w:rsidRPr="00673698">
        <w:rPr>
          <w:b/>
          <w:sz w:val="24"/>
          <w:szCs w:val="24"/>
        </w:rPr>
        <w:t>Поддорского</w:t>
      </w:r>
      <w:proofErr w:type="spellEnd"/>
      <w:r w:rsidRPr="00673698">
        <w:rPr>
          <w:b/>
          <w:sz w:val="24"/>
          <w:szCs w:val="24"/>
        </w:rPr>
        <w:t xml:space="preserve"> муниципального района</w:t>
      </w:r>
      <w:r w:rsidR="008E184B">
        <w:rPr>
          <w:b/>
          <w:sz w:val="24"/>
          <w:szCs w:val="24"/>
        </w:rPr>
        <w:t xml:space="preserve"> </w:t>
      </w:r>
      <w:r w:rsidRPr="00673698">
        <w:rPr>
          <w:b/>
          <w:sz w:val="24"/>
          <w:szCs w:val="24"/>
        </w:rPr>
        <w:t xml:space="preserve"> </w:t>
      </w:r>
      <w:r w:rsidRPr="00673698">
        <w:rPr>
          <w:b/>
          <w:bCs/>
          <w:sz w:val="24"/>
          <w:szCs w:val="24"/>
        </w:rPr>
        <w:t xml:space="preserve">«Обеспечение жильем молодых семей на территории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2015</w:t>
      </w:r>
      <w:r>
        <w:rPr>
          <w:b/>
          <w:bCs/>
          <w:sz w:val="24"/>
          <w:szCs w:val="24"/>
        </w:rPr>
        <w:t>-2017</w:t>
      </w:r>
      <w:r w:rsidRPr="00673698">
        <w:rPr>
          <w:b/>
          <w:bCs/>
          <w:sz w:val="24"/>
          <w:szCs w:val="24"/>
        </w:rPr>
        <w:t xml:space="preserve"> годы»</w:t>
      </w:r>
    </w:p>
    <w:p w:rsidR="003929DB" w:rsidRPr="00673698" w:rsidRDefault="003929DB" w:rsidP="008E184B">
      <w:pPr>
        <w:keepNext/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sz w:val="24"/>
          <w:szCs w:val="24"/>
        </w:rPr>
      </w:pPr>
    </w:p>
    <w:p w:rsidR="008E184B" w:rsidRPr="00692F28" w:rsidRDefault="003929DB" w:rsidP="008E184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673698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</w:t>
      </w:r>
      <w:r w:rsidRPr="00673698">
        <w:rPr>
          <w:bCs/>
          <w:sz w:val="24"/>
          <w:szCs w:val="24"/>
        </w:rPr>
        <w:t xml:space="preserve"> </w:t>
      </w:r>
      <w:r w:rsidRPr="00673698">
        <w:rPr>
          <w:b/>
          <w:bCs/>
          <w:sz w:val="24"/>
          <w:szCs w:val="24"/>
        </w:rPr>
        <w:t xml:space="preserve">«Обеспечение жильем молодых семей на территории 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7</w:t>
      </w:r>
      <w:r w:rsidRPr="00673698">
        <w:rPr>
          <w:b/>
          <w:bCs/>
          <w:sz w:val="24"/>
          <w:szCs w:val="24"/>
        </w:rPr>
        <w:t xml:space="preserve"> годы»</w:t>
      </w:r>
      <w:r w:rsidRPr="00673698">
        <w:rPr>
          <w:bCs/>
          <w:sz w:val="24"/>
          <w:szCs w:val="24"/>
        </w:rPr>
        <w:t xml:space="preserve"> проведена </w:t>
      </w:r>
      <w:r w:rsidRPr="00673698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 от 26.08.2013 № 407 «Об утверждении Порядка</w:t>
      </w:r>
      <w:proofErr w:type="gramEnd"/>
      <w:r w:rsidRPr="00673698">
        <w:rPr>
          <w:sz w:val="24"/>
          <w:szCs w:val="24"/>
        </w:rPr>
        <w:t xml:space="preserve"> </w:t>
      </w:r>
      <w:proofErr w:type="gramStart"/>
      <w:r w:rsidRPr="00673698">
        <w:rPr>
          <w:sz w:val="24"/>
          <w:szCs w:val="24"/>
        </w:rPr>
        <w:t xml:space="preserve">принятия решений о разработке муниципальных программ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района, их формирования и реализации»</w:t>
      </w:r>
      <w:r w:rsidR="008E184B">
        <w:rPr>
          <w:sz w:val="24"/>
          <w:szCs w:val="24"/>
        </w:rPr>
        <w:t>,</w:t>
      </w:r>
      <w:r w:rsidR="008E184B" w:rsidRPr="008E184B">
        <w:rPr>
          <w:bCs/>
          <w:sz w:val="24"/>
          <w:szCs w:val="24"/>
        </w:rPr>
        <w:t xml:space="preserve"> </w:t>
      </w:r>
      <w:r w:rsidR="008E184B"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8E184B" w:rsidRPr="00692F28">
        <w:rPr>
          <w:bCs/>
          <w:sz w:val="24"/>
          <w:szCs w:val="24"/>
        </w:rPr>
        <w:t>Поддорского</w:t>
      </w:r>
      <w:proofErr w:type="spellEnd"/>
      <w:r w:rsidR="008E184B" w:rsidRPr="00692F28">
        <w:rPr>
          <w:bCs/>
          <w:sz w:val="24"/>
          <w:szCs w:val="24"/>
        </w:rPr>
        <w:t xml:space="preserve"> муниципа</w:t>
      </w:r>
      <w:r w:rsidR="008E184B">
        <w:rPr>
          <w:bCs/>
          <w:sz w:val="24"/>
          <w:szCs w:val="24"/>
        </w:rPr>
        <w:t xml:space="preserve">льного района от </w:t>
      </w:r>
      <w:r w:rsidR="008E184B" w:rsidRPr="00692F28">
        <w:rPr>
          <w:bCs/>
          <w:sz w:val="24"/>
          <w:szCs w:val="24"/>
        </w:rPr>
        <w:t>0</w:t>
      </w:r>
      <w:r w:rsidR="008E184B">
        <w:rPr>
          <w:bCs/>
          <w:sz w:val="24"/>
          <w:szCs w:val="24"/>
        </w:rPr>
        <w:t>6</w:t>
      </w:r>
      <w:r w:rsidR="008E184B" w:rsidRPr="00692F28">
        <w:rPr>
          <w:bCs/>
          <w:sz w:val="24"/>
          <w:szCs w:val="24"/>
        </w:rPr>
        <w:t>.0</w:t>
      </w:r>
      <w:r w:rsidR="008E184B">
        <w:rPr>
          <w:bCs/>
          <w:sz w:val="24"/>
          <w:szCs w:val="24"/>
        </w:rPr>
        <w:t>2.2017 года № 19</w:t>
      </w:r>
      <w:r w:rsidR="008E184B" w:rsidRPr="00692F28">
        <w:rPr>
          <w:bCs/>
          <w:sz w:val="24"/>
          <w:szCs w:val="24"/>
        </w:rPr>
        <w:t xml:space="preserve"> </w:t>
      </w:r>
      <w:r w:rsidR="008E184B"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8E184B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E184B" w:rsidRPr="00692F28">
        <w:rPr>
          <w:bCs/>
          <w:sz w:val="24"/>
          <w:szCs w:val="24"/>
        </w:rPr>
        <w:t>Поддорского</w:t>
      </w:r>
      <w:proofErr w:type="spellEnd"/>
      <w:r w:rsidR="008E184B" w:rsidRPr="00692F28">
        <w:rPr>
          <w:bCs/>
          <w:sz w:val="24"/>
          <w:szCs w:val="24"/>
        </w:rPr>
        <w:t xml:space="preserve"> муниципального района от ...0</w:t>
      </w:r>
      <w:r w:rsidR="008E184B">
        <w:rPr>
          <w:bCs/>
          <w:sz w:val="24"/>
          <w:szCs w:val="24"/>
        </w:rPr>
        <w:t>2</w:t>
      </w:r>
      <w:r w:rsidR="008E184B" w:rsidRPr="00692F28">
        <w:rPr>
          <w:bCs/>
          <w:sz w:val="24"/>
          <w:szCs w:val="24"/>
        </w:rPr>
        <w:t>.</w:t>
      </w:r>
      <w:r w:rsidR="008E184B"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="008E184B" w:rsidRPr="00F46296">
        <w:rPr>
          <w:bCs/>
          <w:sz w:val="24"/>
          <w:szCs w:val="24"/>
        </w:rPr>
        <w:t>Поддорского</w:t>
      </w:r>
      <w:proofErr w:type="spellEnd"/>
      <w:r w:rsidR="008E184B" w:rsidRPr="00F46296">
        <w:rPr>
          <w:bCs/>
          <w:sz w:val="24"/>
          <w:szCs w:val="24"/>
        </w:rPr>
        <w:t xml:space="preserve"> муниципального района «</w:t>
      </w:r>
      <w:r w:rsidR="008E184B">
        <w:rPr>
          <w:b/>
          <w:bCs/>
          <w:sz w:val="24"/>
          <w:szCs w:val="24"/>
        </w:rPr>
        <w:t>Устойчивое развитие сельских территорий в</w:t>
      </w:r>
      <w:r w:rsidR="008E184B" w:rsidRPr="00F349B7">
        <w:rPr>
          <w:b/>
          <w:bCs/>
          <w:sz w:val="24"/>
          <w:szCs w:val="24"/>
        </w:rPr>
        <w:t xml:space="preserve"> </w:t>
      </w:r>
      <w:proofErr w:type="spellStart"/>
      <w:r w:rsidR="008E184B" w:rsidRPr="00F349B7">
        <w:rPr>
          <w:b/>
          <w:bCs/>
          <w:sz w:val="24"/>
          <w:szCs w:val="24"/>
        </w:rPr>
        <w:t>Поддорско</w:t>
      </w:r>
      <w:r w:rsidR="008E184B">
        <w:rPr>
          <w:b/>
          <w:bCs/>
          <w:sz w:val="24"/>
          <w:szCs w:val="24"/>
        </w:rPr>
        <w:t>м</w:t>
      </w:r>
      <w:proofErr w:type="spellEnd"/>
      <w:r w:rsidR="008E184B" w:rsidRPr="00F349B7">
        <w:rPr>
          <w:b/>
          <w:bCs/>
          <w:sz w:val="24"/>
          <w:szCs w:val="24"/>
        </w:rPr>
        <w:t xml:space="preserve"> му</w:t>
      </w:r>
      <w:r w:rsidR="008E184B">
        <w:rPr>
          <w:b/>
          <w:bCs/>
          <w:sz w:val="24"/>
          <w:szCs w:val="24"/>
        </w:rPr>
        <w:t>ниципальном районе на 2014-2020</w:t>
      </w:r>
      <w:r w:rsidR="008E184B" w:rsidRPr="00F349B7">
        <w:rPr>
          <w:b/>
          <w:bCs/>
          <w:sz w:val="24"/>
          <w:szCs w:val="24"/>
        </w:rPr>
        <w:t xml:space="preserve"> годы</w:t>
      </w:r>
      <w:r w:rsidR="008E184B" w:rsidRPr="00F46296">
        <w:rPr>
          <w:bCs/>
          <w:sz w:val="24"/>
          <w:szCs w:val="24"/>
        </w:rPr>
        <w:t xml:space="preserve">», </w:t>
      </w:r>
      <w:r w:rsidR="008E184B" w:rsidRPr="00F46296">
        <w:rPr>
          <w:sz w:val="24"/>
          <w:szCs w:val="24"/>
        </w:rPr>
        <w:t xml:space="preserve">стандарта финансового контроля </w:t>
      </w:r>
      <w:proofErr w:type="spellStart"/>
      <w:r w:rsidR="008E184B" w:rsidRPr="00F46296">
        <w:rPr>
          <w:sz w:val="24"/>
          <w:szCs w:val="24"/>
        </w:rPr>
        <w:t>Поддорского</w:t>
      </w:r>
      <w:proofErr w:type="spellEnd"/>
      <w:r w:rsidR="008E184B" w:rsidRPr="00F46296">
        <w:rPr>
          <w:sz w:val="24"/>
          <w:szCs w:val="24"/>
        </w:rPr>
        <w:t xml:space="preserve"> муниципального</w:t>
      </w:r>
      <w:proofErr w:type="gramEnd"/>
      <w:r w:rsidR="008E184B" w:rsidRPr="00F46296">
        <w:rPr>
          <w:sz w:val="24"/>
          <w:szCs w:val="24"/>
        </w:rPr>
        <w:t xml:space="preserve"> района «Финансово-экономическая экспертиза про</w:t>
      </w:r>
      <w:r w:rsidR="008E184B" w:rsidRPr="00692F28">
        <w:rPr>
          <w:sz w:val="24"/>
          <w:szCs w:val="24"/>
        </w:rPr>
        <w:t>ектов муниципальных программ (приказ от 29.10.2012 № 60).</w:t>
      </w:r>
    </w:p>
    <w:p w:rsidR="008E184B" w:rsidRPr="00F349B7" w:rsidRDefault="008E184B" w:rsidP="008E18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929DB" w:rsidRPr="00673698" w:rsidRDefault="003929DB" w:rsidP="003929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929DB" w:rsidRPr="00673698" w:rsidRDefault="003929DB" w:rsidP="003929D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3698">
        <w:rPr>
          <w:sz w:val="24"/>
          <w:szCs w:val="24"/>
        </w:rPr>
        <w:t xml:space="preserve">   Разработчик </w:t>
      </w:r>
      <w:r>
        <w:rPr>
          <w:sz w:val="24"/>
          <w:szCs w:val="24"/>
        </w:rPr>
        <w:t>проекта Постановления – Отдел архитектуры и градостроительства Админист</w:t>
      </w:r>
      <w:r w:rsidRPr="00673698">
        <w:rPr>
          <w:sz w:val="24"/>
          <w:szCs w:val="24"/>
        </w:rPr>
        <w:t xml:space="preserve">рации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района.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Проект постановления для проведения экспертизы в Контрольно-счетную Палату  представлен 0</w:t>
      </w:r>
      <w:r w:rsidR="008E184B">
        <w:rPr>
          <w:sz w:val="24"/>
          <w:szCs w:val="24"/>
        </w:rPr>
        <w:t>6</w:t>
      </w:r>
      <w:r w:rsidRPr="00673698">
        <w:rPr>
          <w:sz w:val="24"/>
          <w:szCs w:val="24"/>
        </w:rPr>
        <w:t>.02.201</w:t>
      </w:r>
      <w:r w:rsidR="008E184B">
        <w:rPr>
          <w:sz w:val="24"/>
          <w:szCs w:val="24"/>
        </w:rPr>
        <w:t>7</w:t>
      </w:r>
      <w:r w:rsidRPr="00673698">
        <w:rPr>
          <w:sz w:val="24"/>
          <w:szCs w:val="24"/>
        </w:rPr>
        <w:t xml:space="preserve"> года.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3929DB" w:rsidRPr="00673698" w:rsidRDefault="003929DB" w:rsidP="003929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67369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73698">
        <w:rPr>
          <w:b/>
          <w:bCs/>
          <w:sz w:val="24"/>
          <w:szCs w:val="24"/>
        </w:rPr>
        <w:t xml:space="preserve">«Обеспечение жильем молодых семей на территории 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2015-2017годы»</w:t>
      </w:r>
      <w:r w:rsidRPr="0067369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от  08.08.2014 № 227, в связи с внесением  изменений в объемы финансовых ресурсов, необходимых для </w:t>
      </w:r>
      <w:r w:rsidRPr="00673698">
        <w:rPr>
          <w:sz w:val="24"/>
          <w:szCs w:val="24"/>
        </w:rPr>
        <w:lastRenderedPageBreak/>
        <w:t xml:space="preserve">реализации муниципальной программы, в соответствии с решением Думы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</w:t>
      </w:r>
      <w:r>
        <w:rPr>
          <w:sz w:val="24"/>
          <w:szCs w:val="24"/>
        </w:rPr>
        <w:t xml:space="preserve">ального района </w:t>
      </w:r>
      <w:r w:rsidR="008E184B">
        <w:rPr>
          <w:sz w:val="24"/>
          <w:szCs w:val="24"/>
        </w:rPr>
        <w:t>от 27.12.2016  № 99 «О внесении изменений в</w:t>
      </w:r>
      <w:proofErr w:type="gramEnd"/>
      <w:r w:rsidR="008E184B" w:rsidRPr="00ED22AE">
        <w:rPr>
          <w:sz w:val="24"/>
          <w:szCs w:val="24"/>
        </w:rPr>
        <w:t xml:space="preserve"> решение Думы </w:t>
      </w:r>
      <w:proofErr w:type="spellStart"/>
      <w:r w:rsidR="008E184B" w:rsidRPr="00ED22AE">
        <w:rPr>
          <w:sz w:val="24"/>
          <w:szCs w:val="24"/>
        </w:rPr>
        <w:t>Поддорского</w:t>
      </w:r>
      <w:proofErr w:type="spellEnd"/>
      <w:r w:rsidR="008E184B" w:rsidRPr="00ED22AE">
        <w:rPr>
          <w:sz w:val="24"/>
          <w:szCs w:val="24"/>
        </w:rPr>
        <w:t xml:space="preserve"> муни</w:t>
      </w:r>
      <w:r w:rsidR="008E184B">
        <w:rPr>
          <w:sz w:val="24"/>
          <w:szCs w:val="24"/>
        </w:rPr>
        <w:t>ципального района от  15.12.2015</w:t>
      </w:r>
      <w:r w:rsidR="008E184B" w:rsidRPr="00ED22AE">
        <w:rPr>
          <w:sz w:val="24"/>
          <w:szCs w:val="24"/>
        </w:rPr>
        <w:t xml:space="preserve"> № </w:t>
      </w:r>
      <w:r w:rsidR="008E184B">
        <w:rPr>
          <w:sz w:val="24"/>
          <w:szCs w:val="24"/>
        </w:rPr>
        <w:t>1</w:t>
      </w:r>
      <w:r w:rsidR="008E184B" w:rsidRPr="00ED22AE">
        <w:rPr>
          <w:sz w:val="24"/>
          <w:szCs w:val="24"/>
        </w:rPr>
        <w:t>9</w:t>
      </w:r>
      <w:r w:rsidRPr="00673698">
        <w:rPr>
          <w:sz w:val="24"/>
          <w:szCs w:val="24"/>
        </w:rPr>
        <w:t xml:space="preserve"> «О бюджете муницип</w:t>
      </w:r>
      <w:r w:rsidR="008E184B">
        <w:rPr>
          <w:sz w:val="24"/>
          <w:szCs w:val="24"/>
        </w:rPr>
        <w:t>ального района на 2016 год</w:t>
      </w:r>
      <w:r w:rsidRPr="00673698">
        <w:rPr>
          <w:sz w:val="24"/>
          <w:szCs w:val="24"/>
        </w:rPr>
        <w:t xml:space="preserve">».  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3698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                                                                                                            в рублях</w:t>
      </w:r>
    </w:p>
    <w:tbl>
      <w:tblPr>
        <w:tblW w:w="9199" w:type="dxa"/>
        <w:tblInd w:w="88" w:type="dxa"/>
        <w:tblLook w:val="04A0"/>
      </w:tblPr>
      <w:tblGrid>
        <w:gridCol w:w="3347"/>
        <w:gridCol w:w="988"/>
        <w:gridCol w:w="490"/>
        <w:gridCol w:w="537"/>
        <w:gridCol w:w="1338"/>
        <w:gridCol w:w="1250"/>
        <w:gridCol w:w="1249"/>
      </w:tblGrid>
      <w:tr w:rsidR="003929DB" w:rsidRPr="00673698" w:rsidTr="00836108">
        <w:trPr>
          <w:trHeight w:val="30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73698">
              <w:rPr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29DB" w:rsidRPr="00673698" w:rsidRDefault="003929DB" w:rsidP="008361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698">
              <w:rPr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</w:tr>
    </w:tbl>
    <w:p w:rsidR="003929DB" w:rsidRPr="00673698" w:rsidRDefault="003929DB" w:rsidP="003929DB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199" w:type="dxa"/>
        <w:tblInd w:w="88" w:type="dxa"/>
        <w:tblLook w:val="04A0"/>
      </w:tblPr>
      <w:tblGrid>
        <w:gridCol w:w="3308"/>
        <w:gridCol w:w="1136"/>
        <w:gridCol w:w="376"/>
        <w:gridCol w:w="460"/>
        <w:gridCol w:w="1368"/>
        <w:gridCol w:w="1276"/>
        <w:gridCol w:w="1275"/>
      </w:tblGrid>
      <w:tr w:rsidR="003929D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8"/>
                <w:szCs w:val="18"/>
              </w:rPr>
            </w:pPr>
            <w:r w:rsidRPr="00C35A39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C35A39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C35A39">
              <w:rPr>
                <w:color w:val="000000"/>
                <w:sz w:val="18"/>
                <w:szCs w:val="18"/>
              </w:rPr>
              <w:t xml:space="preserve"> муниципального района "Обеспечение жильем молодых семей на территории </w:t>
            </w:r>
            <w:proofErr w:type="spellStart"/>
            <w:r w:rsidRPr="00C35A39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C35A39">
              <w:rPr>
                <w:color w:val="000000"/>
                <w:sz w:val="18"/>
                <w:szCs w:val="18"/>
              </w:rPr>
              <w:t xml:space="preserve"> муниципального  района на 2015-2017 годы"</w:t>
            </w:r>
          </w:p>
          <w:p w:rsidR="003929DB" w:rsidRPr="00C35A39" w:rsidRDefault="003929DB" w:rsidP="0083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8E184B" w:rsidRDefault="003929DB" w:rsidP="00836108">
            <w:pPr>
              <w:rPr>
                <w:color w:val="000000"/>
                <w:sz w:val="14"/>
                <w:szCs w:val="14"/>
              </w:rPr>
            </w:pPr>
            <w:r w:rsidRPr="008E184B">
              <w:rPr>
                <w:color w:val="000000"/>
                <w:sz w:val="14"/>
                <w:szCs w:val="14"/>
              </w:rPr>
              <w:t xml:space="preserve">20 0 </w:t>
            </w:r>
            <w:r w:rsidR="008E184B" w:rsidRPr="008E184B">
              <w:rPr>
                <w:color w:val="000000"/>
                <w:sz w:val="14"/>
                <w:szCs w:val="14"/>
              </w:rPr>
              <w:t xml:space="preserve">00 </w:t>
            </w:r>
            <w:r w:rsidRPr="008E184B">
              <w:rPr>
                <w:color w:val="000000"/>
                <w:sz w:val="14"/>
                <w:szCs w:val="14"/>
              </w:rPr>
              <w:t>0000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929D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8"/>
                <w:szCs w:val="18"/>
              </w:rPr>
            </w:pPr>
            <w:r w:rsidRPr="00C35A39">
              <w:rPr>
                <w:color w:val="000000"/>
                <w:sz w:val="18"/>
                <w:szCs w:val="18"/>
              </w:rPr>
              <w:t xml:space="preserve"> Решение Думы от 25.12.2014 № 683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8E184B" w:rsidRDefault="008E184B" w:rsidP="008E184B">
            <w:pPr>
              <w:rPr>
                <w:color w:val="000000"/>
                <w:sz w:val="14"/>
                <w:szCs w:val="14"/>
              </w:rPr>
            </w:pPr>
            <w:r w:rsidRPr="008E184B">
              <w:rPr>
                <w:color w:val="000000"/>
                <w:sz w:val="14"/>
                <w:szCs w:val="14"/>
              </w:rPr>
              <w:t>20 0 00 00000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  <w:r w:rsidRPr="00C35A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  <w:r w:rsidRPr="00C35A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  <w:r w:rsidRPr="00C35A39">
              <w:rPr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  <w:r w:rsidRPr="00C35A39">
              <w:rPr>
                <w:color w:val="000000"/>
                <w:sz w:val="16"/>
                <w:szCs w:val="16"/>
              </w:rPr>
              <w:t xml:space="preserve">50 000,00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  <w:r w:rsidRPr="00C35A39">
              <w:rPr>
                <w:color w:val="000000"/>
                <w:sz w:val="16"/>
                <w:szCs w:val="16"/>
              </w:rPr>
              <w:t xml:space="preserve">50 000,00 </w:t>
            </w:r>
          </w:p>
        </w:tc>
      </w:tr>
      <w:tr w:rsidR="003929D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Думы от 17.12.2015 № 1</w:t>
            </w:r>
            <w:r w:rsidR="008E184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8E184B" w:rsidRDefault="003929DB" w:rsidP="008E184B">
            <w:pPr>
              <w:rPr>
                <w:color w:val="000000"/>
                <w:sz w:val="14"/>
                <w:szCs w:val="14"/>
              </w:rPr>
            </w:pPr>
            <w:r w:rsidRPr="008E184B">
              <w:rPr>
                <w:color w:val="000000"/>
                <w:sz w:val="14"/>
                <w:szCs w:val="14"/>
              </w:rPr>
              <w:t xml:space="preserve">20 0 </w:t>
            </w:r>
            <w:r w:rsidR="008E184B" w:rsidRPr="008E184B">
              <w:rPr>
                <w:color w:val="000000"/>
                <w:sz w:val="14"/>
                <w:szCs w:val="14"/>
              </w:rPr>
              <w:t>00 00000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45 900,00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929DB" w:rsidRPr="00C35A39" w:rsidRDefault="003929DB" w:rsidP="0083610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E184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Администрации 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8E184B" w:rsidRDefault="008E184B" w:rsidP="008E184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45 900,00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50 000,00</w:t>
            </w:r>
          </w:p>
        </w:tc>
      </w:tr>
      <w:tr w:rsidR="008E184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184B" w:rsidRPr="00C35A39" w:rsidRDefault="008E184B" w:rsidP="008E184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Думы от 2</w:t>
            </w:r>
            <w:r>
              <w:rPr>
                <w:color w:val="000000"/>
                <w:sz w:val="18"/>
                <w:szCs w:val="18"/>
              </w:rPr>
              <w:t>7.12.201</w:t>
            </w:r>
            <w:r>
              <w:rPr>
                <w:color w:val="000000"/>
                <w:sz w:val="18"/>
                <w:szCs w:val="18"/>
              </w:rPr>
              <w:t>6 № 9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8E184B" w:rsidRDefault="008E184B" w:rsidP="008E184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E184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роект п</w:t>
            </w:r>
            <w:r>
              <w:rPr>
                <w:color w:val="000000"/>
                <w:sz w:val="18"/>
                <w:szCs w:val="18"/>
              </w:rPr>
              <w:t xml:space="preserve">остановление Администрации 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8E184B" w:rsidRDefault="008E184B" w:rsidP="008E184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Pr="00C35A39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</w:tr>
      <w:tr w:rsidR="008E184B" w:rsidRPr="00673698" w:rsidTr="008E184B">
        <w:trPr>
          <w:trHeight w:val="53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E18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184B" w:rsidRDefault="008E184B" w:rsidP="008361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3929DB" w:rsidRPr="00673698" w:rsidRDefault="003929DB" w:rsidP="003929DB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929DB" w:rsidRPr="00673698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2015-2016 годы в сумме 1</w:t>
      </w:r>
      <w:r w:rsidR="008E184B">
        <w:rPr>
          <w:sz w:val="24"/>
          <w:szCs w:val="24"/>
        </w:rPr>
        <w:t> 201 9</w:t>
      </w:r>
      <w:r w:rsidRPr="00673698">
        <w:rPr>
          <w:sz w:val="24"/>
          <w:szCs w:val="24"/>
        </w:rPr>
        <w:t>00 рублей, рассматриваемым проектом планируется уменьшить общий объем финансирования</w:t>
      </w:r>
      <w:r w:rsidR="008E184B">
        <w:rPr>
          <w:sz w:val="24"/>
          <w:szCs w:val="24"/>
        </w:rPr>
        <w:t xml:space="preserve"> за счет бюджета муниципального района на 20165 год в сумме 45 000 рублей</w:t>
      </w:r>
      <w:r w:rsidRPr="00673698">
        <w:rPr>
          <w:sz w:val="24"/>
          <w:szCs w:val="24"/>
        </w:rPr>
        <w:t>.</w:t>
      </w:r>
    </w:p>
    <w:p w:rsidR="003929DB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Источники финансирования мероприятий на 2015</w:t>
      </w:r>
      <w:r>
        <w:rPr>
          <w:sz w:val="24"/>
          <w:szCs w:val="24"/>
        </w:rPr>
        <w:t xml:space="preserve"> определен</w:t>
      </w:r>
      <w:r w:rsidRPr="00C35A39">
        <w:rPr>
          <w:sz w:val="24"/>
          <w:szCs w:val="24"/>
        </w:rPr>
        <w:t xml:space="preserve"> </w:t>
      </w:r>
      <w:r w:rsidRPr="00673698">
        <w:rPr>
          <w:sz w:val="24"/>
          <w:szCs w:val="24"/>
        </w:rPr>
        <w:t>из бюджета муниципального района</w:t>
      </w:r>
      <w:r>
        <w:rPr>
          <w:sz w:val="24"/>
          <w:szCs w:val="24"/>
        </w:rPr>
        <w:t xml:space="preserve"> в размере 5 000 рублей</w:t>
      </w:r>
      <w:r w:rsidRPr="00673698">
        <w:rPr>
          <w:sz w:val="24"/>
          <w:szCs w:val="24"/>
        </w:rPr>
        <w:t>, на 2016 год сумма финансирования составл</w:t>
      </w:r>
      <w:r w:rsidR="008E184B">
        <w:rPr>
          <w:sz w:val="24"/>
          <w:szCs w:val="24"/>
        </w:rPr>
        <w:t xml:space="preserve">яет  </w:t>
      </w:r>
      <w:r w:rsidRPr="00673698">
        <w:rPr>
          <w:sz w:val="24"/>
          <w:szCs w:val="24"/>
        </w:rPr>
        <w:t xml:space="preserve"> 900 рублей</w:t>
      </w:r>
      <w:r>
        <w:rPr>
          <w:sz w:val="24"/>
          <w:szCs w:val="24"/>
        </w:rPr>
        <w:t>,</w:t>
      </w:r>
      <w:r w:rsidRPr="00C35A39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673698">
        <w:rPr>
          <w:sz w:val="24"/>
          <w:szCs w:val="24"/>
        </w:rPr>
        <w:t xml:space="preserve"> 2017 год </w:t>
      </w:r>
      <w:r>
        <w:rPr>
          <w:sz w:val="24"/>
          <w:szCs w:val="24"/>
        </w:rPr>
        <w:t xml:space="preserve"> - </w:t>
      </w:r>
      <w:r w:rsidRPr="00673698">
        <w:rPr>
          <w:sz w:val="24"/>
          <w:szCs w:val="24"/>
        </w:rPr>
        <w:t>0 рублей;</w:t>
      </w:r>
    </w:p>
    <w:p w:rsidR="003929DB" w:rsidRDefault="003929DB" w:rsidP="003929D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73698">
        <w:rPr>
          <w:sz w:val="24"/>
          <w:szCs w:val="24"/>
        </w:rPr>
        <w:t xml:space="preserve"> из федерального бюджета на 2015-201</w:t>
      </w:r>
      <w:r w:rsidR="008E184B">
        <w:rPr>
          <w:sz w:val="24"/>
          <w:szCs w:val="24"/>
        </w:rPr>
        <w:t>6</w:t>
      </w:r>
      <w:r w:rsidRPr="00673698">
        <w:rPr>
          <w:sz w:val="24"/>
          <w:szCs w:val="24"/>
        </w:rPr>
        <w:t xml:space="preserve"> годы по 54 800 рублей ежегодно</w:t>
      </w:r>
      <w:r>
        <w:rPr>
          <w:sz w:val="24"/>
          <w:szCs w:val="24"/>
        </w:rPr>
        <w:t>;</w:t>
      </w:r>
    </w:p>
    <w:p w:rsidR="003929DB" w:rsidRDefault="003929DB" w:rsidP="003929D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73698">
        <w:rPr>
          <w:sz w:val="24"/>
          <w:szCs w:val="24"/>
        </w:rPr>
        <w:t xml:space="preserve"> из областного бюджета </w:t>
      </w:r>
      <w:r w:rsidR="008E184B">
        <w:rPr>
          <w:sz w:val="24"/>
          <w:szCs w:val="24"/>
        </w:rPr>
        <w:t xml:space="preserve"> на 2015-2016 годы </w:t>
      </w:r>
      <w:r w:rsidRPr="00673698">
        <w:rPr>
          <w:sz w:val="24"/>
          <w:szCs w:val="24"/>
        </w:rPr>
        <w:t>по 122 000 рублей ежегодно</w:t>
      </w:r>
      <w:r>
        <w:rPr>
          <w:sz w:val="24"/>
          <w:szCs w:val="24"/>
        </w:rPr>
        <w:t>;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73698">
        <w:rPr>
          <w:sz w:val="24"/>
          <w:szCs w:val="24"/>
        </w:rPr>
        <w:t xml:space="preserve"> за счет внебюджетных сре</w:t>
      </w:r>
      <w:proofErr w:type="gramStart"/>
      <w:r w:rsidRPr="00673698">
        <w:rPr>
          <w:sz w:val="24"/>
          <w:szCs w:val="24"/>
        </w:rPr>
        <w:t>дств пл</w:t>
      </w:r>
      <w:proofErr w:type="gramEnd"/>
      <w:r w:rsidR="008E184B">
        <w:rPr>
          <w:sz w:val="24"/>
          <w:szCs w:val="24"/>
        </w:rPr>
        <w:t>анируется направить на 2015-2016</w:t>
      </w:r>
      <w:r w:rsidRPr="00673698">
        <w:rPr>
          <w:sz w:val="24"/>
          <w:szCs w:val="24"/>
        </w:rPr>
        <w:t xml:space="preserve"> годы по 421 200 рублей ежегодно (что составляет 6 процентов от общего объема планируемой финансовой помощи на обеспечение жильем молодой семьи).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Денежные средства планируются направить: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73698">
        <w:rPr>
          <w:sz w:val="24"/>
          <w:szCs w:val="24"/>
        </w:rPr>
        <w:t>По пункту 1.2 «Финансовое обеспечение реализации муниципальной программы 1.2.1 «Предоставлен</w:t>
      </w:r>
      <w:r>
        <w:rPr>
          <w:sz w:val="24"/>
          <w:szCs w:val="24"/>
        </w:rPr>
        <w:t>ие молодым семьям социальной вы</w:t>
      </w:r>
      <w:r w:rsidRPr="00673698">
        <w:rPr>
          <w:sz w:val="24"/>
          <w:szCs w:val="24"/>
        </w:rPr>
        <w:t>платы</w:t>
      </w:r>
      <w:r>
        <w:rPr>
          <w:sz w:val="24"/>
          <w:szCs w:val="24"/>
        </w:rPr>
        <w:t xml:space="preserve"> </w:t>
      </w:r>
      <w:r w:rsidRPr="00673698">
        <w:rPr>
          <w:sz w:val="24"/>
          <w:szCs w:val="24"/>
        </w:rPr>
        <w:t>на приобретение жилых помещений или стр</w:t>
      </w:r>
      <w:r>
        <w:rPr>
          <w:sz w:val="24"/>
          <w:szCs w:val="24"/>
        </w:rPr>
        <w:t>о</w:t>
      </w:r>
      <w:r w:rsidRPr="00673698">
        <w:rPr>
          <w:sz w:val="24"/>
          <w:szCs w:val="24"/>
        </w:rPr>
        <w:t xml:space="preserve">ительство индивидуального жилого дома» согласно программы «Обеспечение жильем молодых семей на территории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на 20</w:t>
      </w:r>
      <w:r w:rsidR="008E184B">
        <w:rPr>
          <w:sz w:val="24"/>
          <w:szCs w:val="24"/>
        </w:rPr>
        <w:t>1</w:t>
      </w:r>
      <w:r w:rsidRPr="00673698">
        <w:rPr>
          <w:sz w:val="24"/>
          <w:szCs w:val="24"/>
        </w:rPr>
        <w:t>5-2017 годы» из</w:t>
      </w:r>
      <w:r>
        <w:rPr>
          <w:sz w:val="24"/>
          <w:szCs w:val="24"/>
        </w:rPr>
        <w:t xml:space="preserve"> бюджета муниципального района в размере</w:t>
      </w:r>
      <w:r w:rsidRPr="00673698">
        <w:rPr>
          <w:sz w:val="24"/>
          <w:szCs w:val="24"/>
        </w:rPr>
        <w:t xml:space="preserve"> 5</w:t>
      </w:r>
      <w:r>
        <w:rPr>
          <w:sz w:val="24"/>
          <w:szCs w:val="24"/>
        </w:rPr>
        <w:t> 000 рублей на 2015 год, в размере</w:t>
      </w:r>
      <w:r w:rsidR="008E184B">
        <w:rPr>
          <w:sz w:val="24"/>
          <w:szCs w:val="24"/>
        </w:rPr>
        <w:t xml:space="preserve">  </w:t>
      </w:r>
      <w:r w:rsidRPr="00673698">
        <w:rPr>
          <w:sz w:val="24"/>
          <w:szCs w:val="24"/>
        </w:rPr>
        <w:t> 900 рублей на 2016 год</w:t>
      </w:r>
      <w:r>
        <w:rPr>
          <w:sz w:val="24"/>
          <w:szCs w:val="24"/>
        </w:rPr>
        <w:t xml:space="preserve"> и на 2017 год</w:t>
      </w:r>
      <w:proofErr w:type="gramEnd"/>
      <w:r>
        <w:rPr>
          <w:sz w:val="24"/>
          <w:szCs w:val="24"/>
        </w:rPr>
        <w:t xml:space="preserve"> в размере 0 рублей</w:t>
      </w:r>
      <w:r w:rsidRPr="00673698">
        <w:rPr>
          <w:sz w:val="24"/>
          <w:szCs w:val="24"/>
        </w:rPr>
        <w:t>.</w:t>
      </w:r>
    </w:p>
    <w:p w:rsidR="003929DB" w:rsidRPr="00673698" w:rsidRDefault="003929DB" w:rsidP="003929D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 w:rsidR="008E184B">
        <w:rPr>
          <w:sz w:val="24"/>
          <w:szCs w:val="24"/>
        </w:rPr>
        <w:t>6</w:t>
      </w:r>
      <w:r w:rsidRPr="00673698">
        <w:rPr>
          <w:sz w:val="24"/>
          <w:szCs w:val="24"/>
        </w:rPr>
        <w:t xml:space="preserve"> год</w:t>
      </w:r>
      <w:proofErr w:type="gramStart"/>
      <w:r w:rsidRPr="00673698">
        <w:rPr>
          <w:sz w:val="24"/>
          <w:szCs w:val="24"/>
        </w:rPr>
        <w:t xml:space="preserve"> ,</w:t>
      </w:r>
      <w:proofErr w:type="gramEnd"/>
      <w:r w:rsidRPr="00673698">
        <w:rPr>
          <w:sz w:val="24"/>
          <w:szCs w:val="24"/>
        </w:rPr>
        <w:t xml:space="preserve"> в соответствии с решением Думы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</w:t>
      </w:r>
      <w:r w:rsidR="008E184B">
        <w:rPr>
          <w:sz w:val="24"/>
          <w:szCs w:val="24"/>
        </w:rPr>
        <w:t>района от  2</w:t>
      </w:r>
      <w:r>
        <w:rPr>
          <w:sz w:val="24"/>
          <w:szCs w:val="24"/>
        </w:rPr>
        <w:t>7</w:t>
      </w:r>
      <w:r w:rsidRPr="00673698">
        <w:rPr>
          <w:sz w:val="24"/>
          <w:szCs w:val="24"/>
        </w:rPr>
        <w:t>.12.201</w:t>
      </w:r>
      <w:r w:rsidR="008E184B">
        <w:rPr>
          <w:sz w:val="24"/>
          <w:szCs w:val="24"/>
        </w:rPr>
        <w:t>6</w:t>
      </w:r>
      <w:r w:rsidRPr="00673698">
        <w:rPr>
          <w:sz w:val="24"/>
          <w:szCs w:val="24"/>
        </w:rPr>
        <w:t xml:space="preserve"> № </w:t>
      </w:r>
      <w:r w:rsidR="008E184B">
        <w:rPr>
          <w:sz w:val="24"/>
          <w:szCs w:val="24"/>
        </w:rPr>
        <w:t>99</w:t>
      </w:r>
      <w:r w:rsidRPr="00673698">
        <w:rPr>
          <w:sz w:val="24"/>
          <w:szCs w:val="24"/>
        </w:rPr>
        <w:t xml:space="preserve"> «О бюджете муниципального района на 201</w:t>
      </w:r>
      <w:r w:rsidR="008E184B">
        <w:rPr>
          <w:sz w:val="24"/>
          <w:szCs w:val="24"/>
        </w:rPr>
        <w:t>6</w:t>
      </w:r>
      <w:r w:rsidRPr="00673698">
        <w:rPr>
          <w:sz w:val="24"/>
          <w:szCs w:val="24"/>
        </w:rPr>
        <w:t xml:space="preserve"> </w:t>
      </w:r>
    </w:p>
    <w:p w:rsidR="003929DB" w:rsidRPr="00673698" w:rsidRDefault="003929DB" w:rsidP="003929DB">
      <w:pPr>
        <w:ind w:firstLine="709"/>
        <w:jc w:val="both"/>
        <w:rPr>
          <w:bCs/>
          <w:sz w:val="24"/>
          <w:szCs w:val="24"/>
        </w:rPr>
      </w:pPr>
      <w:r w:rsidRPr="00673698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929DB" w:rsidRPr="00673698" w:rsidRDefault="003929DB" w:rsidP="003929DB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673698">
        <w:rPr>
          <w:bCs/>
          <w:sz w:val="24"/>
          <w:szCs w:val="24"/>
        </w:rPr>
        <w:lastRenderedPageBreak/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3929DB" w:rsidRPr="00673698" w:rsidRDefault="003929DB" w:rsidP="003929DB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673698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929DB" w:rsidRPr="00673698" w:rsidRDefault="003929DB" w:rsidP="003929DB">
      <w:pPr>
        <w:ind w:right="43" w:firstLine="708"/>
        <w:jc w:val="both"/>
        <w:rPr>
          <w:bCs/>
          <w:sz w:val="24"/>
          <w:szCs w:val="24"/>
        </w:rPr>
      </w:pPr>
      <w:r w:rsidRPr="00673698">
        <w:rPr>
          <w:bCs/>
          <w:sz w:val="24"/>
          <w:szCs w:val="24"/>
        </w:rPr>
        <w:t xml:space="preserve"> Однако</w:t>
      </w:r>
      <w:proofErr w:type="gramStart"/>
      <w:r w:rsidRPr="00673698">
        <w:rPr>
          <w:bCs/>
          <w:sz w:val="24"/>
          <w:szCs w:val="24"/>
        </w:rPr>
        <w:t>,</w:t>
      </w:r>
      <w:proofErr w:type="gramEnd"/>
      <w:r w:rsidRPr="00673698">
        <w:rPr>
          <w:bCs/>
          <w:sz w:val="24"/>
          <w:szCs w:val="24"/>
        </w:rPr>
        <w:t xml:space="preserve"> объемы финансирования мероприятий программы определены согласно п.п. 4.1 и 4.2  п.4  «Порядка финансовое обеспечение муниципальной программы» </w:t>
      </w:r>
      <w:r w:rsidRPr="00673698">
        <w:rPr>
          <w:b/>
          <w:bCs/>
          <w:i/>
          <w:sz w:val="24"/>
          <w:szCs w:val="24"/>
        </w:rPr>
        <w:t>не соответствуют бюджетным ассигнованиям</w:t>
      </w:r>
      <w:r w:rsidRPr="00673698">
        <w:rPr>
          <w:bCs/>
          <w:sz w:val="24"/>
          <w:szCs w:val="24"/>
        </w:rPr>
        <w:t xml:space="preserve"> бюджета муниципального района,  в части финансирования мероприятий по программе </w:t>
      </w:r>
      <w:r w:rsidRPr="00673698">
        <w:rPr>
          <w:b/>
          <w:bCs/>
          <w:sz w:val="24"/>
          <w:szCs w:val="24"/>
        </w:rPr>
        <w:t xml:space="preserve">«Обеспечение жильем молодых семей  на территории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2015-2017 годы</w:t>
      </w:r>
      <w:r w:rsidRPr="00673698">
        <w:rPr>
          <w:bCs/>
          <w:sz w:val="24"/>
          <w:szCs w:val="24"/>
        </w:rPr>
        <w:t xml:space="preserve">»  и  Решению Думы о бюджете финансовое обеспечение  из бюджета муниципального района по коду целевой статьи 10 </w:t>
      </w:r>
      <w:proofErr w:type="gramStart"/>
      <w:r w:rsidRPr="00673698">
        <w:rPr>
          <w:bCs/>
          <w:sz w:val="24"/>
          <w:szCs w:val="24"/>
        </w:rPr>
        <w:t xml:space="preserve">03 20 0 </w:t>
      </w:r>
      <w:r w:rsidR="008E184B">
        <w:rPr>
          <w:bCs/>
          <w:sz w:val="24"/>
          <w:szCs w:val="24"/>
        </w:rPr>
        <w:t>00 00000</w:t>
      </w:r>
      <w:r w:rsidRPr="00673698">
        <w:rPr>
          <w:bCs/>
          <w:sz w:val="24"/>
          <w:szCs w:val="24"/>
        </w:rPr>
        <w:t xml:space="preserve"> «</w:t>
      </w:r>
      <w:r w:rsidRPr="00673698">
        <w:rPr>
          <w:b/>
          <w:bCs/>
          <w:sz w:val="24"/>
          <w:szCs w:val="24"/>
        </w:rPr>
        <w:t xml:space="preserve">Обеспечение жильем молодых семей  на территории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2015-2017 годы</w:t>
      </w:r>
      <w:r w:rsidRPr="00673698">
        <w:rPr>
          <w:bCs/>
          <w:sz w:val="24"/>
          <w:szCs w:val="24"/>
        </w:rPr>
        <w:t xml:space="preserve">»  на 2015 год в сумме  5 000 рублей, на 2016 год – 900 рублей и на 2017 год – 0 рублей, согласно приложениям к решению Думы № 11, 12, 13).  </w:t>
      </w:r>
      <w:proofErr w:type="gramEnd"/>
    </w:p>
    <w:p w:rsidR="003929DB" w:rsidRPr="00673698" w:rsidRDefault="003929DB" w:rsidP="003929DB">
      <w:pPr>
        <w:ind w:right="43" w:firstLine="708"/>
        <w:jc w:val="both"/>
        <w:rPr>
          <w:bCs/>
          <w:sz w:val="24"/>
          <w:szCs w:val="24"/>
        </w:rPr>
      </w:pPr>
      <w:r w:rsidRPr="00673698">
        <w:rPr>
          <w:b/>
          <w:bCs/>
          <w:i/>
          <w:sz w:val="24"/>
          <w:szCs w:val="24"/>
        </w:rPr>
        <w:t>В бюджете муниципального района на 2015-201</w:t>
      </w:r>
      <w:r>
        <w:rPr>
          <w:b/>
          <w:bCs/>
          <w:i/>
          <w:sz w:val="24"/>
          <w:szCs w:val="24"/>
        </w:rPr>
        <w:t>7</w:t>
      </w:r>
      <w:r w:rsidRPr="00673698">
        <w:rPr>
          <w:b/>
          <w:bCs/>
          <w:i/>
          <w:sz w:val="24"/>
          <w:szCs w:val="24"/>
        </w:rPr>
        <w:t xml:space="preserve"> годы  средства, на выполнение вышеуказанных мероприятий программы из других бюджетов, не предусмотрены</w:t>
      </w:r>
      <w:r w:rsidRPr="00673698">
        <w:rPr>
          <w:bCs/>
          <w:sz w:val="24"/>
          <w:szCs w:val="24"/>
        </w:rPr>
        <w:t>.</w:t>
      </w:r>
    </w:p>
    <w:p w:rsidR="003929DB" w:rsidRPr="00673698" w:rsidRDefault="003929DB" w:rsidP="003929DB">
      <w:pPr>
        <w:ind w:right="43" w:firstLine="708"/>
        <w:jc w:val="both"/>
        <w:rPr>
          <w:sz w:val="24"/>
          <w:szCs w:val="24"/>
        </w:rPr>
      </w:pPr>
      <w:r w:rsidRPr="00673698">
        <w:rPr>
          <w:sz w:val="24"/>
          <w:szCs w:val="24"/>
        </w:rPr>
        <w:t>2.Проект постановления Программы сформирован на 2015-2017 годы.</w:t>
      </w:r>
    </w:p>
    <w:p w:rsidR="003929DB" w:rsidRPr="00673698" w:rsidRDefault="003929DB" w:rsidP="003929DB">
      <w:pPr>
        <w:ind w:right="43" w:firstLine="708"/>
        <w:jc w:val="both"/>
        <w:rPr>
          <w:b/>
          <w:bCs/>
          <w:i/>
          <w:sz w:val="24"/>
          <w:szCs w:val="24"/>
        </w:rPr>
      </w:pPr>
      <w:proofErr w:type="gramStart"/>
      <w:r w:rsidRPr="00673698">
        <w:rPr>
          <w:bCs/>
          <w:sz w:val="24"/>
          <w:szCs w:val="24"/>
        </w:rPr>
        <w:t xml:space="preserve">3.«Исполнитель муниципальной программы» в Паспорте определен    «Администрация </w:t>
      </w:r>
      <w:proofErr w:type="spellStart"/>
      <w:r w:rsidRPr="00673698">
        <w:rPr>
          <w:bCs/>
          <w:sz w:val="24"/>
          <w:szCs w:val="24"/>
        </w:rPr>
        <w:t>Поддорского</w:t>
      </w:r>
      <w:proofErr w:type="spellEnd"/>
      <w:r w:rsidRPr="00673698">
        <w:rPr>
          <w:bCs/>
          <w:sz w:val="24"/>
          <w:szCs w:val="24"/>
        </w:rPr>
        <w:t xml:space="preserve"> муниципального района в лице отдела по архитектуре и градостроительству Администрация муниципального района», что   соответствует  приложению № 11 «Ведомственная структура расходов бюджета муниципального района на 201</w:t>
      </w:r>
      <w:r w:rsidR="008E184B">
        <w:rPr>
          <w:bCs/>
          <w:sz w:val="24"/>
          <w:szCs w:val="24"/>
        </w:rPr>
        <w:t>6</w:t>
      </w:r>
      <w:r w:rsidRPr="00673698">
        <w:rPr>
          <w:bCs/>
          <w:sz w:val="24"/>
          <w:szCs w:val="24"/>
        </w:rPr>
        <w:t xml:space="preserve"> год</w:t>
      </w:r>
      <w:r w:rsidR="008E184B">
        <w:rPr>
          <w:bCs/>
          <w:sz w:val="24"/>
          <w:szCs w:val="24"/>
        </w:rPr>
        <w:t>»</w:t>
      </w:r>
      <w:r w:rsidRPr="00673698">
        <w:rPr>
          <w:bCs/>
          <w:sz w:val="24"/>
          <w:szCs w:val="24"/>
        </w:rPr>
        <w:t xml:space="preserve"> к решению Думы, где  данные объемы финансирования бюджетных ассигнований  по  Программе </w:t>
      </w:r>
      <w:r w:rsidRPr="00673698">
        <w:rPr>
          <w:b/>
          <w:bCs/>
          <w:i/>
          <w:sz w:val="24"/>
          <w:szCs w:val="24"/>
        </w:rPr>
        <w:t xml:space="preserve">утверждены по  коду «300» Главного распорядителя бюджетных средств   «Администрации </w:t>
      </w:r>
      <w:proofErr w:type="spellStart"/>
      <w:r w:rsidRPr="00673698">
        <w:rPr>
          <w:b/>
          <w:bCs/>
          <w:i/>
          <w:sz w:val="24"/>
          <w:szCs w:val="24"/>
        </w:rPr>
        <w:t>Поддорского</w:t>
      </w:r>
      <w:proofErr w:type="spellEnd"/>
      <w:r w:rsidRPr="00673698">
        <w:rPr>
          <w:b/>
          <w:bCs/>
          <w:i/>
          <w:sz w:val="24"/>
          <w:szCs w:val="24"/>
        </w:rPr>
        <w:t xml:space="preserve"> муниципального района». </w:t>
      </w:r>
      <w:proofErr w:type="gramEnd"/>
    </w:p>
    <w:p w:rsidR="003929DB" w:rsidRPr="00673698" w:rsidRDefault="003929DB" w:rsidP="003929DB">
      <w:pPr>
        <w:ind w:right="43" w:firstLine="708"/>
        <w:jc w:val="both"/>
        <w:rPr>
          <w:b/>
          <w:bCs/>
          <w:i/>
          <w:sz w:val="24"/>
          <w:szCs w:val="24"/>
        </w:rPr>
      </w:pPr>
      <w:r w:rsidRPr="00673698">
        <w:rPr>
          <w:b/>
          <w:bCs/>
          <w:i/>
          <w:sz w:val="24"/>
          <w:szCs w:val="24"/>
        </w:rPr>
        <w:t xml:space="preserve">  </w:t>
      </w:r>
    </w:p>
    <w:p w:rsidR="003929DB" w:rsidRPr="00673698" w:rsidRDefault="003929DB" w:rsidP="003929D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73698">
        <w:rPr>
          <w:sz w:val="24"/>
          <w:szCs w:val="24"/>
        </w:rPr>
        <w:t xml:space="preserve">      </w:t>
      </w:r>
      <w:r w:rsidRPr="00673698">
        <w:rPr>
          <w:b/>
          <w:i/>
          <w:sz w:val="24"/>
          <w:szCs w:val="24"/>
        </w:rPr>
        <w:t>Экспертные заключения:</w:t>
      </w:r>
    </w:p>
    <w:p w:rsidR="003929DB" w:rsidRPr="00634A69" w:rsidRDefault="003929DB" w:rsidP="003929DB">
      <w:pPr>
        <w:jc w:val="both"/>
        <w:rPr>
          <w:b/>
          <w:i/>
          <w:sz w:val="24"/>
          <w:szCs w:val="24"/>
        </w:rPr>
      </w:pPr>
      <w:r w:rsidRPr="00673698">
        <w:rPr>
          <w:sz w:val="24"/>
          <w:szCs w:val="24"/>
        </w:rPr>
        <w:t xml:space="preserve">1.Контрольно-счетная </w:t>
      </w:r>
      <w:proofErr w:type="gramStart"/>
      <w:r w:rsidRPr="00673698">
        <w:rPr>
          <w:sz w:val="24"/>
          <w:szCs w:val="24"/>
        </w:rPr>
        <w:t>Палата</w:t>
      </w:r>
      <w:proofErr w:type="gramEnd"/>
      <w:r w:rsidRPr="0067369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73698">
        <w:rPr>
          <w:sz w:val="24"/>
          <w:szCs w:val="24"/>
        </w:rPr>
        <w:t>Поддорского</w:t>
      </w:r>
      <w:proofErr w:type="spellEnd"/>
      <w:r w:rsidRPr="00673698">
        <w:rPr>
          <w:sz w:val="24"/>
          <w:szCs w:val="24"/>
        </w:rPr>
        <w:t xml:space="preserve"> муниципального района  </w:t>
      </w:r>
      <w:r w:rsidRPr="00673698">
        <w:rPr>
          <w:b/>
          <w:sz w:val="24"/>
          <w:szCs w:val="24"/>
        </w:rPr>
        <w:t>«</w:t>
      </w:r>
      <w:r w:rsidRPr="00673698">
        <w:rPr>
          <w:b/>
          <w:bCs/>
          <w:sz w:val="24"/>
          <w:szCs w:val="24"/>
        </w:rPr>
        <w:t xml:space="preserve">Обеспечение жильем молодых семей  на территории  </w:t>
      </w:r>
      <w:proofErr w:type="spellStart"/>
      <w:r w:rsidRPr="00673698">
        <w:rPr>
          <w:b/>
          <w:bCs/>
          <w:sz w:val="24"/>
          <w:szCs w:val="24"/>
        </w:rPr>
        <w:t>Поддорского</w:t>
      </w:r>
      <w:proofErr w:type="spellEnd"/>
      <w:r w:rsidRPr="00673698">
        <w:rPr>
          <w:b/>
          <w:bCs/>
          <w:sz w:val="24"/>
          <w:szCs w:val="24"/>
        </w:rPr>
        <w:t xml:space="preserve"> муниципального района на 2015-2017 годы»</w:t>
      </w:r>
      <w:r w:rsidRPr="00673698">
        <w:rPr>
          <w:bCs/>
          <w:sz w:val="24"/>
          <w:szCs w:val="24"/>
        </w:rPr>
        <w:t xml:space="preserve">  </w:t>
      </w:r>
      <w:r w:rsidRPr="00673698">
        <w:rPr>
          <w:sz w:val="24"/>
          <w:szCs w:val="24"/>
        </w:rPr>
        <w:t xml:space="preserve">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</w:t>
      </w:r>
      <w:r>
        <w:rPr>
          <w:sz w:val="24"/>
          <w:szCs w:val="24"/>
        </w:rPr>
        <w:t>.</w:t>
      </w:r>
      <w:r w:rsidRPr="0041430E">
        <w:rPr>
          <w:b/>
          <w:i/>
          <w:sz w:val="24"/>
          <w:szCs w:val="24"/>
          <w:highlight w:val="yellow"/>
        </w:rPr>
        <w:t xml:space="preserve"> </w:t>
      </w:r>
    </w:p>
    <w:p w:rsidR="003929DB" w:rsidRPr="00673698" w:rsidRDefault="003929DB" w:rsidP="003929DB">
      <w:pPr>
        <w:jc w:val="both"/>
        <w:rPr>
          <w:b/>
          <w:i/>
          <w:sz w:val="24"/>
          <w:szCs w:val="24"/>
        </w:rPr>
      </w:pPr>
    </w:p>
    <w:p w:rsidR="003929DB" w:rsidRPr="00673698" w:rsidRDefault="003929DB" w:rsidP="003929DB">
      <w:pPr>
        <w:jc w:val="both"/>
        <w:rPr>
          <w:b/>
          <w:sz w:val="24"/>
          <w:szCs w:val="24"/>
        </w:rPr>
      </w:pPr>
      <w:r w:rsidRPr="00673698">
        <w:rPr>
          <w:b/>
          <w:sz w:val="24"/>
          <w:szCs w:val="24"/>
        </w:rPr>
        <w:t xml:space="preserve">Председатель </w:t>
      </w:r>
      <w:proofErr w:type="gramStart"/>
      <w:r w:rsidRPr="00673698">
        <w:rPr>
          <w:b/>
          <w:sz w:val="24"/>
          <w:szCs w:val="24"/>
        </w:rPr>
        <w:t>Контрольно-счетной</w:t>
      </w:r>
      <w:proofErr w:type="gramEnd"/>
    </w:p>
    <w:p w:rsidR="003929DB" w:rsidRPr="00673698" w:rsidRDefault="003929DB" w:rsidP="003929D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673698">
        <w:rPr>
          <w:b/>
          <w:sz w:val="24"/>
          <w:szCs w:val="24"/>
        </w:rPr>
        <w:t xml:space="preserve">Палаты                                                                      </w:t>
      </w:r>
      <w:proofErr w:type="spellStart"/>
      <w:r w:rsidRPr="00673698">
        <w:rPr>
          <w:b/>
          <w:sz w:val="24"/>
          <w:szCs w:val="24"/>
        </w:rPr>
        <w:t>Г.В.Тыщенко</w:t>
      </w:r>
      <w:proofErr w:type="spellEnd"/>
    </w:p>
    <w:p w:rsidR="00D72354" w:rsidRDefault="00D72354"/>
    <w:sectPr w:rsidR="00D72354" w:rsidSect="003929DB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929DB"/>
    <w:rsid w:val="003929DB"/>
    <w:rsid w:val="0058396B"/>
    <w:rsid w:val="008E184B"/>
    <w:rsid w:val="00D72354"/>
    <w:rsid w:val="00D8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929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</cp:revision>
  <dcterms:created xsi:type="dcterms:W3CDTF">2017-02-20T15:48:00Z</dcterms:created>
  <dcterms:modified xsi:type="dcterms:W3CDTF">2017-02-20T16:05:00Z</dcterms:modified>
</cp:coreProperties>
</file>