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F4" w:rsidRDefault="00C93AF4" w:rsidP="00C93AF4">
      <w:pPr>
        <w:pStyle w:val="1"/>
        <w:spacing w:before="0" w:beforeAutospacing="0" w:after="0" w:afterAutospacing="0" w:line="360" w:lineRule="atLeast"/>
        <w:jc w:val="center"/>
        <w:textAlignment w:val="baseline"/>
        <w:rPr>
          <w:b w:val="0"/>
          <w:bCs w:val="0"/>
          <w:sz w:val="33"/>
          <w:szCs w:val="33"/>
        </w:rPr>
      </w:pPr>
      <w:r>
        <w:rPr>
          <w:sz w:val="33"/>
          <w:szCs w:val="33"/>
          <w:bdr w:val="none" w:sz="0" w:space="0" w:color="auto" w:frame="1"/>
        </w:rPr>
        <w:t>Российская Федерация</w:t>
      </w:r>
    </w:p>
    <w:p w:rsidR="00C93AF4" w:rsidRDefault="00C93AF4" w:rsidP="00C93AF4">
      <w:pPr>
        <w:pStyle w:val="1"/>
        <w:spacing w:before="0" w:beforeAutospacing="0" w:after="0" w:afterAutospacing="0" w:line="360" w:lineRule="atLeast"/>
        <w:jc w:val="center"/>
        <w:textAlignment w:val="baseline"/>
        <w:rPr>
          <w:b w:val="0"/>
          <w:bCs w:val="0"/>
          <w:sz w:val="33"/>
          <w:szCs w:val="33"/>
        </w:rPr>
      </w:pPr>
      <w:r>
        <w:rPr>
          <w:sz w:val="33"/>
          <w:szCs w:val="33"/>
          <w:bdr w:val="none" w:sz="0" w:space="0" w:color="auto" w:frame="1"/>
        </w:rPr>
        <w:t>Новгородская область</w:t>
      </w:r>
    </w:p>
    <w:p w:rsidR="00C93AF4" w:rsidRDefault="00C93AF4" w:rsidP="00C93AF4">
      <w:pPr>
        <w:pStyle w:val="2"/>
        <w:spacing w:before="0" w:beforeAutospacing="0" w:after="360" w:afterAutospacing="0" w:line="360" w:lineRule="atLeast"/>
        <w:jc w:val="center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ДУМА ПОДДОРСКОГО МУНИЦИПАЛЬНОГО РАЙОНА</w:t>
      </w:r>
    </w:p>
    <w:p w:rsidR="00C93AF4" w:rsidRDefault="00C93AF4" w:rsidP="00C93AF4">
      <w:pPr>
        <w:pStyle w:val="6"/>
        <w:spacing w:before="0" w:beforeAutospacing="0" w:after="360" w:afterAutospacing="0" w:line="360" w:lineRule="atLeast"/>
        <w:jc w:val="center"/>
        <w:textAlignment w:val="baseline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Р Е Ш Е Н И Е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от 28.10.2011 № 465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с.Поддорье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6887"/>
      </w:tblGrid>
      <w:tr w:rsidR="00C93AF4" w:rsidTr="00C93AF4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3AF4" w:rsidRDefault="00C93AF4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Об антикоррупционной экспертизе нормативных  правовых актов (проектов нормативных правовых актов) Думы Поддорского муниципального района</w:t>
            </w:r>
          </w:p>
        </w:tc>
        <w:tc>
          <w:tcPr>
            <w:tcW w:w="4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3AF4" w:rsidRDefault="00C93AF4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В соответствии с федеральными законами от 25 декабря 2008 года №273-ФЗ «О противодействии коррупции», от 17 июля 2009 года №172-ФЗ «Об антикоррупционной экспертизе нормативных правовых актов и проектов нормативных правовых актов»,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Дума Поддорского муниципального района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РЕШИЛА: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 Думы Поддорского муниципального района.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2. Утвердить состав комиссии Думы Поддорского муниципального района по проведению антикоррупционной экспертизы.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 Опубликовать решение в газете «Заря».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Глава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       муниципального района                                                 А.Н.Буленков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lastRenderedPageBreak/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Утвержден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решением Думы Поддорского</w:t>
      </w:r>
      <w:r>
        <w:rPr>
          <w:sz w:val="21"/>
          <w:szCs w:val="21"/>
        </w:rPr>
        <w:br/>
        <w:t>муниципального района</w:t>
      </w:r>
      <w:r>
        <w:rPr>
          <w:sz w:val="21"/>
          <w:szCs w:val="21"/>
        </w:rPr>
        <w:br/>
        <w:t>от 28.10.2011 № 465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Порядок проведения антикоррупционной экспертизы нормативных правовых актов (проектов нормативных правовых актов) Думы Поддорского муниципального района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1. Общие положения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1.1. В настоящем Порядке используются следующие понятия:</w:t>
      </w:r>
      <w:r>
        <w:rPr>
          <w:sz w:val="21"/>
          <w:szCs w:val="21"/>
        </w:rPr>
        <w:br/>
        <w:t>антикоррупционная экспертиза — экспертиза нормативных правовых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актов (проектов нормативных правовых актов) Думы Поддорского муниципального района в целях выявления в них коррупциогенных факторов и их последующего устранения;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коррупциогенные факторы —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1.2. Антикоррупционная экспертиза проводится в отношении решений Думы Поддорского муниципального района, имеющих нормативный характер, и проектов указанных актов (далее — нормативные правовые акты (проекты).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1.3.  Антикоррупционная экспертиза нормативных правовых актов</w:t>
      </w:r>
      <w:r>
        <w:rPr>
          <w:sz w:val="21"/>
          <w:szCs w:val="21"/>
        </w:rPr>
        <w:br/>
        <w:t>(проектов) проводится согласно методике проведения антикоррупционной</w:t>
      </w:r>
      <w:r>
        <w:rPr>
          <w:sz w:val="21"/>
          <w:szCs w:val="21"/>
        </w:rPr>
        <w:br/>
        <w:t>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N96.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2. Антикоррупционная экспертиза нормативного правового акта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2.1. Антикоррупционная экспертиза нормативного правового акта проводится в случае поступления в адрес Думы Поддорского муниципального района письменных обращений органов государственной власти, иных органов местного самоуправления муниципального района, граждан и организаций с </w:t>
      </w:r>
      <w:r>
        <w:rPr>
          <w:sz w:val="21"/>
          <w:szCs w:val="21"/>
        </w:rPr>
        <w:lastRenderedPageBreak/>
        <w:t>информацией о возможной коррупциогенности указанного акта, полученной по результатам анализа практики его правоприменения.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2.2. Антикоррупционная экспертиза нормативного правового акта в случае, предусмотренном пунктом 2.1 настоящего Порядка, проводится комиссией Думы Поддорского муниципального района по проведению антикоррупционной экспертизы (далее- комиссия) по результатам мониторинга применения нормативного правового акта на основании поручения Председателя Думы Поддорского муниципального района. Комиссия осуществляет свою деятельность в соответствии с Положением о ней, утвержденным решением Думы Поддорского муниципального района.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Комиссия вправе привлекать к проведению антикоррупционной экспертизы нормативного правового акта специалистов Администрации муниципального района.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2.3.  Антикоррупционная экспертиза нормативного правового акта</w:t>
      </w:r>
      <w:r>
        <w:rPr>
          <w:sz w:val="21"/>
          <w:szCs w:val="21"/>
        </w:rPr>
        <w:br/>
        <w:t>проводится в срок, определенный поручением Председателем Думы</w:t>
      </w:r>
      <w:r>
        <w:rPr>
          <w:sz w:val="21"/>
          <w:szCs w:val="21"/>
        </w:rPr>
        <w:br/>
        <w:t>Поддорского муниципального района, но не более чем в течение 45 рабочих</w:t>
      </w:r>
      <w:r>
        <w:rPr>
          <w:sz w:val="21"/>
          <w:szCs w:val="21"/>
        </w:rPr>
        <w:br/>
        <w:t>дней со дня поступления указанного поручения в комиссию.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2.4.    Комиссия по результатам проведения антикоррупционной</w:t>
      </w:r>
      <w:r>
        <w:rPr>
          <w:sz w:val="21"/>
          <w:szCs w:val="21"/>
        </w:rPr>
        <w:br/>
        <w:t>экспертизы нормативного правового акта дают письменное заключение. В</w:t>
      </w:r>
      <w:r>
        <w:rPr>
          <w:sz w:val="21"/>
          <w:szCs w:val="21"/>
        </w:rPr>
        <w:br/>
        <w:t>заключении указываются выявленные в нормативном правовом акте</w:t>
      </w:r>
      <w:r>
        <w:rPr>
          <w:sz w:val="21"/>
          <w:szCs w:val="21"/>
        </w:rPr>
        <w:br/>
        <w:t>коррупциогенные факторы согласно методике, утвержденной</w:t>
      </w:r>
      <w:r>
        <w:rPr>
          <w:sz w:val="21"/>
          <w:szCs w:val="21"/>
        </w:rPr>
        <w:br/>
        <w:t>Постановлением Правительства Российской Федерации от 26 февраля 2010</w:t>
      </w:r>
      <w:r>
        <w:rPr>
          <w:sz w:val="21"/>
          <w:szCs w:val="21"/>
        </w:rPr>
        <w:br/>
        <w:t>года, и предложения о способах их устранения либо сведения об отсутствии</w:t>
      </w:r>
      <w:r>
        <w:rPr>
          <w:sz w:val="21"/>
          <w:szCs w:val="21"/>
        </w:rPr>
        <w:br/>
        <w:t>указанных факторов.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Заключение не позднее 5 рабочих дней с момента его подписания направляется заявителю, а в случае выявления коррупциогенных факторов -дополнительно в Администрацию муниципального района.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3. Антикоррупционная экспертиза проекта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3.1. Антикоррупционная экспертиза проекта осуществляется в форме</w:t>
      </w:r>
      <w:r>
        <w:rPr>
          <w:sz w:val="21"/>
          <w:szCs w:val="21"/>
        </w:rPr>
        <w:br/>
        <w:t>анализа норм проекта на наличие коррупциогенных факторов.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3.2. Антикоррупционная экспертиза проекта проводится: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при согласовании проекта — комитетом организационно-правового обеспечения Администрации муниципального района;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перед рассмотрением проекта на заседании Думы Поддорского муниципального района — комиссией.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3.3.   Представление проекта для проведения антикоррупционной</w:t>
      </w:r>
      <w:r>
        <w:rPr>
          <w:sz w:val="21"/>
          <w:szCs w:val="21"/>
        </w:rPr>
        <w:br/>
        <w:t>экспертизы в комиссию осуществляется при условии указания в</w:t>
      </w:r>
      <w:r>
        <w:rPr>
          <w:sz w:val="21"/>
          <w:szCs w:val="21"/>
        </w:rPr>
        <w:br/>
        <w:t>пояснительной записке сведений об отсутствии в нем коррупциогенных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>факторов по результатам антикоррупционной экспертизы, проведенной</w:t>
      </w:r>
      <w:r>
        <w:rPr>
          <w:sz w:val="21"/>
          <w:szCs w:val="21"/>
        </w:rPr>
        <w:br/>
        <w:t>комитетом организационно-правового обеспечения Администрации</w:t>
      </w:r>
      <w:r>
        <w:rPr>
          <w:sz w:val="21"/>
          <w:szCs w:val="21"/>
        </w:rPr>
        <w:br/>
        <w:t>муниципального района.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3.4.  Антикоррупционная экспертиза проекта проводится комиссией не более чем в 20 рабочих дней со дня поступления проекта в комиссию.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3.5. 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комиссия вправе запросить у   структурного подразделения Администрации муниципального района, специалистов Администрации муниципального района, являющихся разработчиками проекта, дополнительные материалы или информацию. В указанном случае срок проведения антикоррупционной экспертизы проекта продлевается, но не более чем до 40 рабочих дней.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3.6. По результатам антикоррупционной экспертизы комиссия: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3.6.1.      При выявлении коррупциогенных факторов отражает в заключении положения проекта нормативного правового акта, способствующие созданию условий для проявления коррупции с указанием структурных единиц проекта нормативного правового акта (раздел, глава, статья, часть, пункт, подпункт, абзац) и соответствующих коррупциогенных факторов согласно методике, утвержденной Постановлением Правительства Российской Федерации от 26 февраля 2010 года. В заключении могут быть отражены возможные негативные последствия сохранения в проекте выявленных коррупциогенных факторов;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3.6.2.      При не выявлении коррупциогенных факторов указывает в заключении сведения об их отсутствии.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3.7.      Положения проекта нормативного правового акта,</w:t>
      </w:r>
      <w:r>
        <w:rPr>
          <w:sz w:val="21"/>
          <w:szCs w:val="21"/>
        </w:rPr>
        <w:br/>
        <w:t>способствующие созданию условий для проявления коррупции, выявленные</w:t>
      </w:r>
      <w:r>
        <w:rPr>
          <w:sz w:val="21"/>
          <w:szCs w:val="21"/>
        </w:rPr>
        <w:br/>
        <w:t>при проведении антикоррупционной экспертизы, устраняются разработчиком</w:t>
      </w:r>
      <w:r>
        <w:rPr>
          <w:sz w:val="21"/>
          <w:szCs w:val="21"/>
        </w:rPr>
        <w:br/>
        <w:t>на стадии его доработки.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3.8.  В случае внесения изменений в проект, в отношении которого</w:t>
      </w:r>
      <w:r>
        <w:rPr>
          <w:sz w:val="21"/>
          <w:szCs w:val="21"/>
        </w:rPr>
        <w:br/>
        <w:t>комиссией ранее проводилась антикоррупционная экспертиза, указанный</w:t>
      </w:r>
      <w:r>
        <w:rPr>
          <w:sz w:val="21"/>
          <w:szCs w:val="21"/>
        </w:rPr>
        <w:br/>
        <w:t>проект подлежит повторной антикоррупционной экспертизе в порядке,</w:t>
      </w:r>
      <w:r>
        <w:rPr>
          <w:sz w:val="21"/>
          <w:szCs w:val="21"/>
        </w:rPr>
        <w:br/>
        <w:t>установленном настоящим разделом.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4. Учет результатов антикоррупционной экспертизы нормативных правовых актов (проектов)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4.1. Заключение комиссии по результатам антикоррупционной экспертизы нормативного правового акта (проекта) в случае выявления коррупциогенных факторов направляется структурному подразделению Администрации муниципального района, специалисту Администрации муниципального района, являющемуся разработчиком нормативного правового акта (проекта), для рассмотрения в целях устранения положений, которые могут способствовать проявлению коррупции.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lastRenderedPageBreak/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Утверждена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решением Думы Поддорского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муниципального района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от 28.10.2011 №465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КОМИССИЯ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Думы Поддорского муниципального района по проведению антикоррупционной экспертизы</w:t>
      </w:r>
    </w:p>
    <w:p w:rsidR="00C93AF4" w:rsidRDefault="00C93AF4" w:rsidP="00C93AF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1"/>
          <w:szCs w:val="21"/>
        </w:rPr>
      </w:pPr>
      <w:r>
        <w:rPr>
          <w:b/>
          <w:bCs/>
          <w:sz w:val="21"/>
          <w:szCs w:val="21"/>
          <w:bdr w:val="none" w:sz="0" w:space="0" w:color="auto" w:frame="1"/>
        </w:rPr>
        <w:t> 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Шетько С.С.             — депутат Думы Поддорского муниципального района,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председатель комиссии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Власов В.Н.              — депутат Думы Поддорского муниципального района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Пиганова В.Д.          — депутат Думы Поддорского муниципального района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Прасюк А.Т.             — депутат Думы Поддорского муниципального района</w:t>
      </w:r>
    </w:p>
    <w:p w:rsidR="00C93AF4" w:rsidRDefault="00C93AF4" w:rsidP="00C93AF4">
      <w:pPr>
        <w:pStyle w:val="a3"/>
        <w:spacing w:before="0" w:beforeAutospacing="0" w:after="240" w:afterAutospacing="0" w:line="36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Яблонскене Н.И.      — депутат Думы Поддорского муниципального района</w:t>
      </w:r>
    </w:p>
    <w:p w:rsidR="00FC628B" w:rsidRPr="00C93AF4" w:rsidRDefault="00FC628B" w:rsidP="00C93AF4">
      <w:bookmarkStart w:id="0" w:name="_GoBack"/>
      <w:bookmarkEnd w:id="0"/>
    </w:p>
    <w:sectPr w:rsidR="00FC628B" w:rsidRPr="00C9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09"/>
    <w:rsid w:val="00041483"/>
    <w:rsid w:val="00C93AF4"/>
    <w:rsid w:val="00D26609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FB0A-72CF-4CA2-9F31-56F5E17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1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1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414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148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4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2023-04-18T07:50:00Z</dcterms:created>
  <dcterms:modified xsi:type="dcterms:W3CDTF">2023-04-18T07:51:00Z</dcterms:modified>
</cp:coreProperties>
</file>