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Право на пособие по беременности и родам имеют женщины, уволенные в связи: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с ликвидацией организаций,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с прекращением физическими лицами деятельности в качестве индивидуальных предпринимателей,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прекращением полномочий частными нотариусами,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прекращением статуса адвоката,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Пособие по беременности и родам выплачивается за период отпуска по беременности и родам продолжительностью семьдесят (в случае многоплодной беременности — восемьдесят четыре) календарных дней до родов и семьдесят (в случае осложненных родов — восемьдесят шесть, при рождении двух и более детей — сто десять) календарных дней после родов.</w:t>
      </w:r>
    </w:p>
    <w:tbl>
      <w:tblPr>
        <w:tblW w:w="9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544"/>
        <w:gridCol w:w="3108"/>
      </w:tblGrid>
      <w:tr w:rsidR="00E039A3" w:rsidRPr="00E039A3" w:rsidTr="00E039A3">
        <w:tc>
          <w:tcPr>
            <w:tcW w:w="2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Дата, с которой</w:t>
            </w: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br/>
              <w:t>производится индексация</w:t>
            </w: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br/>
              <w:t>размеров посо</w:t>
            </w:r>
            <w:bookmarkStart w:id="0" w:name="_GoBack"/>
            <w:bookmarkEnd w:id="0"/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бия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Коэффициент</w:t>
            </w: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br/>
              <w:t>индексации</w:t>
            </w:r>
          </w:p>
        </w:tc>
        <w:tc>
          <w:tcPr>
            <w:tcW w:w="3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Размер</w:t>
            </w: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br/>
            </w:r>
            <w:proofErr w:type="gramStart"/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пособия</w:t>
            </w: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 рублях)</w:t>
            </w:r>
          </w:p>
        </w:tc>
      </w:tr>
      <w:tr w:rsidR="00E039A3" w:rsidRPr="00E039A3" w:rsidTr="00E039A3">
        <w:tc>
          <w:tcPr>
            <w:tcW w:w="2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01.02.2019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1,043</w:t>
            </w:r>
          </w:p>
        </w:tc>
        <w:tc>
          <w:tcPr>
            <w:tcW w:w="3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655,49</w:t>
            </w:r>
          </w:p>
        </w:tc>
      </w:tr>
      <w:tr w:rsidR="00E039A3" w:rsidRPr="00E039A3" w:rsidTr="00E039A3">
        <w:tc>
          <w:tcPr>
            <w:tcW w:w="2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01.02.2018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1,025</w:t>
            </w:r>
          </w:p>
        </w:tc>
        <w:tc>
          <w:tcPr>
            <w:tcW w:w="3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39A3" w:rsidRPr="00E039A3" w:rsidRDefault="00E039A3" w:rsidP="00E039A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039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628,47</w:t>
            </w:r>
          </w:p>
        </w:tc>
      </w:tr>
    </w:tbl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Документы: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паспорт или другой документ, удостоверяющий личность;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листок нетрудоспособности;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выписка из трудовой книжки о последнем месте работы или копия трудовой книжки, заверенная в установленном законом порядке;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заверенная в установленном порядке, справка из органов государственной службы занятости населения о признании их безработными;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частными нотариусами,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СНИЛС.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Нормативные правовые акты: Федеральный закон от 19 мая 1995 г. № 81-ФЗ «О государственных пособиях гражданам, имеющим детей»; Приказ министерства здравоохранения и социального развития РФ от 23 декабря 2009 г. № 1012н «Об утверждении порядка и условий назначения и выплаты государственных пособий гражданам, имеющим детей».</w:t>
      </w:r>
    </w:p>
    <w:p w:rsidR="00E039A3" w:rsidRPr="00E039A3" w:rsidRDefault="00E039A3" w:rsidP="00E039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039A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Куда обращаться:</w:t>
      </w: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Прием заявлений и необходимых документов осуществляют: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с.Поддорье</w:t>
      </w:r>
      <w:proofErr w:type="spellEnd"/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ул.Полевая</w:t>
      </w:r>
      <w:proofErr w:type="spellEnd"/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д.15, приемные дни понедельник – пятница с 9.00 до 17.00, перерыв на обед с 13.00 до 14.00, телефон для справок: 8 (81658) 71 090, факс: 8 (81658) 71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E039A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467</w:t>
      </w:r>
    </w:p>
    <w:p w:rsidR="0016620A" w:rsidRPr="00E039A3" w:rsidRDefault="0016620A" w:rsidP="00E039A3">
      <w:pPr>
        <w:spacing w:after="0" w:line="240" w:lineRule="auto"/>
      </w:pPr>
    </w:p>
    <w:sectPr w:rsidR="0016620A" w:rsidRPr="00E0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74939"/>
    <w:rsid w:val="00727CC0"/>
    <w:rsid w:val="0076221B"/>
    <w:rsid w:val="007B0909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D07666"/>
    <w:rsid w:val="00D2185B"/>
    <w:rsid w:val="00D44613"/>
    <w:rsid w:val="00E039A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115</cp:revision>
  <dcterms:created xsi:type="dcterms:W3CDTF">2023-04-20T06:11:00Z</dcterms:created>
  <dcterms:modified xsi:type="dcterms:W3CDTF">2023-05-11T10:49:00Z</dcterms:modified>
</cp:coreProperties>
</file>