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DD" w:rsidRPr="00BF4DDD" w:rsidRDefault="00BF4DDD" w:rsidP="00BF4DDD">
      <w:pPr>
        <w:spacing w:after="0"/>
        <w:rPr>
          <w:rFonts w:ascii="Times New Roman" w:hAnsi="Times New Roman" w:cs="Times New Roman"/>
        </w:rPr>
      </w:pPr>
      <w:bookmarkStart w:id="0" w:name="_GoBack"/>
      <w:r w:rsidRPr="00BF4DDD">
        <w:rPr>
          <w:rFonts w:ascii="Times New Roman" w:hAnsi="Times New Roman" w:cs="Times New Roman"/>
        </w:rPr>
        <w:t>За 1 квартал 2018  года</w:t>
      </w:r>
      <w:r w:rsidRPr="00BF4DDD">
        <w:rPr>
          <w:rFonts w:ascii="Times New Roman" w:hAnsi="Times New Roman" w:cs="Times New Roman"/>
          <w:b/>
          <w:bCs/>
        </w:rPr>
        <w:t>  </w:t>
      </w:r>
      <w:r w:rsidRPr="00BF4DDD">
        <w:rPr>
          <w:rFonts w:ascii="Times New Roman" w:hAnsi="Times New Roman" w:cs="Times New Roman"/>
        </w:rPr>
        <w:t>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Промышленное производство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Ведущим промышленным предприятием района является ООО «Поддорский маслозавод». За 1 квартал 2018 года  ООО «Поддорский маслозавод» реализовано продукции на сумму 5,0 млн. рублей (66 % к  аналогичному периоду 2017 года). В натуральном выражении выработано: масло «Крестьянское» 72,5% — 0,4 тонны; спреды – 656 тонны. Численность работающих 59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Сельское хозяйство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Производством сельскохозяйственной продукции в районе в 1 кв. 2018 года занимались 4 сельхозпредприятия, 10 крестьянских (фермерских) хозяйств и 1733 личных подсобных хозяйств.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1.04.2017 года в хозяйствах всех категорий содержалось 315 голов крупного рогатого скота (68,3 %  уровня прошлого года), в том числе  коров – 193 гол.  (что на 9,4 % меньше уровня прошлого года), свиней – 194 гол. (что на 8,9 % больше уровня прошлого года),  овец и коз – 1098 гол. (что составляет 77,4 %  прошлого года), птица – 5701 головы (на 28 % меньше  уровня прошлого года). Поголовье  крупного рогатого скота сократилось в личных подсобных хозяйствах к уровню прошлого года на 40,3%. В личных подсобных хозяйствах поголовье сельскохозяйственных животных уменьшается по причине старения населения.  Поголовье коров в сельхозпредприятиях и крестьянских (фермерских) хозяйствах увеличилось на 6голов к уровню прошлого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Проводилась работа по привлечению инвестиций в АПК. В базу «Свободные индустриальные площади Новгородской области» включены 2 площадки, расположенных на территории района и пригодных для размещения новых производств.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Строительство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введены в эксплуатацию    3 жилых дома общей площадью 191,3 м.кв.  В  1 квартале 2017 года  ввода в эксплуатацию    жилых домов и других объектов не было.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Продолжается строительство 17 индивидуальных  жилых  домов общей площадью 1352 м.кв.  на территории муниципального района.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Продолжается строительство следующих  объектов капитального строительства: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пристройка к зданию приюта для детей «Березка» в с.Масловское;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здание прачечной ОБУСО  «Поддорский дом-интернат малой вместимости» в с.Белебелка.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выдано 2  разрешения на строительство индивидуальных жилых домов.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2017 года  было выдано 5  разрешений на строительство индивидуальных жилых домов.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Инвестиционная деятельность. Меры, направленные на создание благоприятных условий ведения предпринимательской деятельности.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w:t>
      </w:r>
      <w:r w:rsidRPr="00BF4DDD">
        <w:rPr>
          <w:rFonts w:ascii="Times New Roman" w:hAnsi="Times New Roman" w:cs="Times New Roman"/>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Конкурентные преимущества района: наличие свободных земель сельскохозяйственного назначения, отсутствие конкуренции.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Инвестиционные проекты, реализуемые в 2018 году следующие: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ООО «Мыза»  производство молока и мяса, проект находится в стадии реализации.  Имеется в наличии 0,6 тысячи птицы, 258 шт. овец и коз.</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ООО «Полисть» ведется реконструкция здания фермы.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Содержание, ремонт и паспортизация автомобильных дорог общего пользования местного значения за счет средств муниципальных дорожных фондов 8178,700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Ввод в эксплуатацию прачечной ОБУСО «Поддорский дом-интернат малой вместимости» в с.Белебелка 1300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 Ввод в эксплуатацию пристройки к зданию ОБУСО «Поддорский социальный приют для детей «Березка» в с.Масловское 2300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Строительство 17 индивидуальных жилых домов, находящихся в разной стадии строительства, общей площадью 1352,0м.кв;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Реализация меро-приятия  «Предо-ставление грантов на поддержку мест-ных инициатив гра-ждан, прожива-ющих в сельской местности области» государственной областной прог-раммы «Устойчи-вое развитие сель-ских территорий в Новгородской обла-сти на 2014-2020 годы» — «Обустро-йство детской игро-вой площадки в д.Нивки» 246,6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-Капитальный ремонт сетей водоснабжения в с.Поддорье 799,263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Торговля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Оборот розничной торговли  в январе- феврале 2018 года составил 36,6 млн. рублей индекс физического объема к уровню прошлого года 96,3%.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Оборот розничной торговли на 95,6 % формировался торгующими организациями и индивидуальными предпринимателями, реализующими товары вне рынка.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Товарооборот на душу населения в районе в январе- феврале истекшего года составил 9,1 тыс. рублей, индекс физического объема к уровню прошлого года 97,6%.</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Оборот общественного питания в январе- феврале 2018 составил 1,5 млн. рублей, и по сравнению с соответствующим периодом 2016 года уменьшился  на 91,5%.</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Снижение вышеуказанных показателей допущено по причине   снижения реальных денежных  доходов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Торговое обслуживание населения района обеспечивали 37 торговых точек, в том числе: 11- индивидуальных предпринимателей ,26- юридических лиц. Непродовольственных-9, продовольственных -8,смешанный ассортимент- 20. Малочисленные труднодоступные населенные пункты обслуживались 3 автомагазинами. На территории муниципального района один магазин федеральной розничной сети.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Экономическая ситуация на потребительском рынке муниципального района  характеризуется сбалансированностью спроса и предложения товаров.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Тенденция к увеличению количества торговых предприятий  ожидается и в дальнейшие годы.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Торговые предприятия принимали участие в организации и обслуживании мероприятий, проводимых в муниципальном районе: таких как, 9 мая, День села , Рождественский марафон и мн.других.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Все предприятия торговли занимались благоустройством прилегающих территорий за счет собственных средств. Проводился ремонт и оформление фасадов торговых предприятий. На прилежащих к торговым предприятиям территориях разбивались цветники,  были посажены деревья и кустарники.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Утверждена схема размещения нестационарных объектов торговли.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муниципального района функционирует  одно предприятие потребкооперации Потребительский торгово-заготовительный кооператив «Заря», имеет четыре  торговых объекта (д. Селеево Селеевское сельское поселение, д. Нивки Поддорское сельское поселение, д. Переходы Белебелковское сельское поселение д. Лисичкино Поддорское сельское поселение) общей площадью 203,7 кв.м. и два автомагазина. Численность работающих шесть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Сеть общественного питания  представлена 6 объектами общей площадью используемой в хозяйственной деятельности  331,4 кв.м.. В настоящее время ведется работа по открытию новой точки общественного питания.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За отчетный период обеспеченность торговыми площадями в расчете на 1000 жителей составляет 482 кв.м., при плановом нормативе 302 кв.м на 1 тыс. жителей ( отклонение от норматива + 280). Обеспеченность населения площадью торговых объектов по продаже продовольственных товаров 202 ( при плановом 92), по продаже непродовольственных товаров 279 (при нормативе 210).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«Водоканалсервис».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Также на территории района Администрацией района были организованы сезонные сельскохозяйственные ярмарки, где арендная плата за торговые места не взимается. Часть молочной, овощной продукции реализуется по договоренности с потребителями под заказ с предоставлением возможности доставки.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муниципального района оказываются следующие виды бытовых услуг населению:</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Ремонт и техническое обслуживание бытовой радиоэлектронной аппаратуры;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Техническое обслуживание и ремонт транспортных средств;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Ремонт и строительство жилья;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Услуги фотоателье;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Услуги парикмахерских;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Услуги бань и душевых;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Ритуальные услуги;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химическая чистка и крашение.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w:t>
      </w:r>
      <w:r w:rsidRPr="00BF4DDD">
        <w:rPr>
          <w:rFonts w:ascii="Times New Roman" w:hAnsi="Times New Roman" w:cs="Times New Roman"/>
        </w:rPr>
        <w:t>          </w:t>
      </w:r>
      <w:r w:rsidRPr="00BF4DDD">
        <w:rPr>
          <w:rFonts w:ascii="Times New Roman" w:hAnsi="Times New Roman" w:cs="Times New Roman"/>
          <w:b/>
          <w:bCs/>
        </w:rPr>
        <w:t>Развитие малого и среднего предпринимательства.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муниципального района зарегистрировано 21 юридическое лицо и индивидуальных предпринимателей 65, в том числе по видам деятельности: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сельское хозяйство, охота и лесное хозяйство обрабатывающие производства 25;</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обрабатывающие производства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из них металлургическое производство и производство готовых металлических изделий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обработка древесины и производство изделий из дерева и пробки, кроме мебели, производство изделий из соломки и материалов для плетения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строительство 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оптовая розничная торговля; ремонт автотранспортных средств, мотоциклов, бытовых изделий и предметов личного пользования 17;</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деятельность гостиниц и предприятий общественного питания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транспортировка и хранение 7;</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деятельность в области информации и связи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деятельность  по операциям с недвижимым имуществом 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деятельность профессиональная, научная и техническая 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образование 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предоставление прочих видов услуг 4.</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районе созданы условия для развития малого бизнеса. Регулярно проводятся заседания координационного Совета. В соответствии с муниципальной программой «Развитие малого и среднего предпринимательства на 2014-2017 годы» за счет средств бюджета муниципального района в 2017 году на поддержку субъектов малого предпринимательства будет направлено: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из местного бюджета 50 тыс. рублей.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Исполнение бюджета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Доходная часть бюджета района за 1 квартал  2018  года  исполнена на 26,96 % (при плане 152714808.00, фактически поступило 41177995,44). По собственным доходам  план выполнен на 22,34 %. При плане 36032310,00 фактически поступило 8048928,44. За соответствующий период прошлого года поступления собственных доходов составили 7978883.23.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Основным источником доходной части бюджета является налог на доходы физических лиц. Налог на доходы физических лиц выполнен на 22,76% (при плане 23300000.00, фактически поступило 5303137.22).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Акцизы по подакцизным товарам (продукции), производимым на территории Российской Федерации выполнены на 23.70% (при плане 7295700 рублей, фактически поступило 1729059.14).</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Единый налог на вмененный доход для отдельных видов деятельности выполнен на 34.42% (при плане 974000 рублей, фактически поступило 335290.72).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План по государственной пошлине выполнен на 37.15% (при плане 197000 рублей, поступило 73181.32).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Доходов от использования имущества, находящегося в государственной и муниципальной собственности поступило 75224.57 при плане 485000  рублей. Исполнение составило 15.51%.</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План по платежам за пользование природными ресурсами выполнен на 21.23% (при плане 11600 рублей, фактически поступило 2462.69).</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Доходы от продажи материальных и нематериальных активов выполнены на 28.78% (при плане  772810 рублей, поступило 222418.30).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План по штрафам, санкциям, возмещению ущерба выполнен на 47.38% (при плане 116200 рублей, фактически поступило 55050.00.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Безвозмездные поступления от других бюджетов выполнены на 28.39% (при плане 116682498 рублей, фактически поступило 33129067.00).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расходам в целом,  исполнение составило 24.60% (при плане 152719628 рублей, фактически освоено 37572891,35).</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Наибольшую часть  в расходах  занимают расходы по  образованию — расход составил 14155546.13, при плане 50317200.00  (28.13%).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Расходы на общегосударственные вопросы при плане 29277140.00, фактически освоены на 5901605.99 (20.16%).</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Жилищно- коммунальное хозяйство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Администрация Поддорского муниципального района сообщает, что на территории района проводилась соответствующая работа по проведению отопительного периода 2017/2018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Администрацией муниципального района принято постановление от 25.05.2017 № 218 «О подготовке и проведении отопительного периода 2017/2018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Все муниципальные учреждения были полностью обеспечены дровами.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Жилой фонд на территории Поддорского муниципального района находится 24 многоквартирных жилых домов, которые находятся на обслуживании управляющей компании ООО «ТехСтар».</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Работы выполняются управляющей компанией ООО «ТехСтар». В 1 квартале 2018 года  произведены следующие работы: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замена ветхих водопроводных сетей и электрических сетей;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ремонт дверей в подъездах и подвалах где это требуется;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установка почтовых ящиков и информационных досок.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Производится вывозка ТБО в контейнерах согласно графика .</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По водопроводно- канализационному хозяйству:</w:t>
      </w:r>
      <w:r w:rsidRPr="00BF4DDD">
        <w:rPr>
          <w:rFonts w:ascii="Times New Roman" w:hAnsi="Times New Roman" w:cs="Times New Roman"/>
        </w:rPr>
        <w:t>  водопроводные сети протяженностью  —  42,2 км; артезианские скважины – 19 ед.; водонапорные башни – 19 ед.; водоразборные колонки – 151 ед.;   канализационные сети протяженностью 3,5 км.</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Выручка от реализации воды за 1 квартал 2018 года составила 926,8 тыс.рублей. Фактический уровень возмещения затрат за предоставленные жилищно – коммунальные услуги составил 90,9 %.</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Ремонт жилищного фонда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перечисление взносов на капитальный ремонт жилого фонда в 1 квартале 2018 года направлено 31000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не вносились изменения  в Региональную программу капитального ремонта многоквартирных домов на 2018 год.</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Благоустройство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В  1 квартале 2018 года на проведение мероприятий по благоустройству сельских территорий администрациями сельских поселений направлено 1832379  руб.  Эти средства израсходованы на уличное освещение населенных пунктов, выпиливание и уборку сухих деревьев.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2017 года на проведение мероприятий по благоустройству сельских территорий администрациями сельских поселений было направлено 1062288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Всего в 1 квартале 2018 года  проведено 11 собраний граждан, на которых рассматривались     вопросы благоустройства и санитарного состояния населенных пунктов.  Предписания  по наведению порядка на территориях населенных пунктов не выдавались.</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Всего в 1 квартале 2017 года  было проведено 38 собраний граждан,  выдано 26 предписаний по наведению порядка на территориях населенных пунктов.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муниципального района работу по уборке и транспортированию твердых бытовых отходов в 1 квартале 2018 года осуществляло общество с ограниченной ответственностью  «ДОРРОС».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Дорожное хозяйство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было выполнено работ по содержанию автомобильных дорог на сумму 3990526 руб., в том числе: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на содержание автомобильных дорог общего пользования местного значения направлено 772527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содержание   автомобильных дорог межрегионального или межмуниципального значения направлено 6054682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2017 года   на содержание и ремонт  автомобильных  дорог общего пользования   было направлено 7510570 руб., в том числе: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содержание автомобильных дорог общего пользования местного значения, искусственных сооружений на них  — 382870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содержание   автомобильных дорог межрегионального или межмуниципального значения — 7127700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Лесное хозяйство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Расчетная лесосека по Поддорскому лесничеству составляет 349,4 тыс. м3, при рубке спелых и перестойных насаждений 294,2 тыс. м3. На 01.04.2018 года освоено 26,0 тыс. м3, что составляет 7,4 % от общей расчетной лесосеки (их них половина по переходящим остаткам 2017 года). На арендованных участках заготовка древесины составила 9,3 тыс. м3 ( в том числе по хвойному хозяйству 1,7 тыс. м3).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Новгородским областным автономным учреждением «Поддорский лесхоз» выполнено государственное задание по следующим видам работ: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отвод лесосек (отвод лесосек под рубки ухода в молодняках) — 144,6 га.;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уход за лесами в молодняках, проведение рубок ухода за молодняками (осветления, прочистки) – 174,8 га.;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локализация и ликвидация очагов вредных организмов 3,2 га.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Уровень жизни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Один из важнейших показателей уровня жизни населения – доходы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2018  году  темп роста заработной платы  по крупным и средним предприятиям и организациям  по району составит  107,5 %.</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январе 2018  года среднемесячная заработная плата по крупным и средним предприятиям и организациям  по району составила 24685,4 рублей, что выше показателя аналогичного периода прошлого года на 110,1 %.</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Среднедушевые денежные доходы населения за отчетный период  составили 9886  рублей  и увеличились к уровню 2017 года на 1,3%.</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Занятость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За  1 квартал 2018 года в отдел занятости населения Поддорского района обратилось за содействием в поиске подходящей работы 10 человек. Признано безработными 6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Нашли работу 5 человек, из них безработные граждане – 4 человека.     Уровень регистрируемой безработицы на 1 апреля 2018 года составил 1,0 % (20 безработных граждан, состоящих на учете, из них женщин — 8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1 апреля 2018 г. трудоспособное население района составляет 2011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Средняя продолжительность безработицы составила 7,4 месяца, в том числе: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граждане от 16 до 29 лет –  3,0 мес.</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женщины                         —  7,7 мес.</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инвалиды                         — 15,0 мес.</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программе «Организация проведения оплачиваемых общественных работ» заключен 1 договор (МУП «Водоканалсервис»). Трудоустроено 3 человека.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программе «Организация временного трудоустройства безработных граждан, испытывающих трудности в поиске работы» заключен 1 договор. Трудоустроено 1 человек (ОАУСО «Поддорский комплексный центр социального обслуживания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1 квартал 2018г. 1 безработный гражданин направлен на профессиональное обучение по профессии «Менеджер по персоналу».</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1 квартал 2018г. в отдел занятости поступило 20 вакансий. На 01.04.2018г. в отделе занятости заявлено 19 вакансий.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1 квартал 2018 г. оказано 356 государственных услуг.</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Демография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состав территорий сельских поселений входят 155 населенных пунктов, из  них: в 61 населенном пункте проживает от 1-5 жителей, в 50 населенных пунктах никто не проживает.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Население района на 01.01.2018 года составляет 3934 человек ( в % к 2017 году 97,4), что составляет 0,66 % от населения области. В том числе в разрезе сельских поселений: Поддорское сельское поселение -2633 человека; Белебелковское сельское поселение- 824 человек; Селеевское сельское поселение- 477 человека.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Средний размер сельского населенного пункта – 27  жителя, среди которых преобладают пенсионеры.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Плотность населения в  Поддорском муниципальном  районе составляет 1,3 чел. на 1 кв.км.</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данным Новгородстат  в январе  2018 года в районе  родилось  6 детей ( к уровню прошлого года  150%),  умерло 6 человек (к уровню прошлого года 55%). В районе 1434 человека-население пенсионного возраста (что составляет 35%).</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Поэтому естественная убыль населения по причине низкой рождаемости и высокого уровня смертности характерна для муниципального района.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Естественная убыль (-), прирост (+) в январе  2018 года -7 человек (%).</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Социальная поддержка населения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w:t>
      </w:r>
      <w:r w:rsidRPr="00BF4DDD">
        <w:rPr>
          <w:rFonts w:ascii="Times New Roman" w:hAnsi="Times New Roman" w:cs="Times New Roman"/>
        </w:rPr>
        <w:t>Все категории льготников в течение отчетного периода получили в полном объеме меры социальной поддержки в соответствии с федеральным и областным законодательствами.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Численность малоимущих граждан, состоящих на учете в отделе социальной защиты населения на 01.04.2018 года составила  569 человек, что составляет 14,1% от общей численности населения района. Численность лиц, находящихся в трудной жизненной ситуации, — 42 человек, что составляет – 1,0% от общей численности населения района.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истекший период государственную  социальную помощь и социальную поддержку получили 66 жителя  района на сумму 82,0 тыс.руб. Средний размер государственной помощи составил 1,2 тыс.руб. на человека.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отчетный период текущего год адресная социальная поддержка отдельным категориям граждан в возмещении расходов, связанных с зубопротезированием и необходимостью проезда в автомобильном транспорте межмуниципального сообщения, оказана 86 гражданам на сумму 142,1 тыс.руб.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xml:space="preserve">Адресная социальная помощь за счет благотворительных средств в                   1 квартале 2018  году оказана 450 малоимущим гражданам на сумму 1 118,7 тыс. руб., средний размер помощи на 1 человека составил 2,5 тыс. руб. Помощь, оказанная Новгородским Отделением </w:t>
      </w:r>
      <w:r w:rsidRPr="00BF4DDD">
        <w:rPr>
          <w:rFonts w:ascii="Times New Roman" w:hAnsi="Times New Roman" w:cs="Times New Roman"/>
        </w:rPr>
        <w:lastRenderedPageBreak/>
        <w:t>Общероссийской Общественной Организации «Российский Красный Крест» в рамках программы «Социальная защита детей» на организацию горячих обедов для детей из малоимущих семей, по состоянию на 01.04.2018 г. составила 64,4 тыс. рублей.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Полномочия по социальной защите детей и семей с детьми включают в себя выплаты  пособия на детей (получили 143 семьи (258 детей) на сумму 214,4 тыс. руб.), единовременной выплаты по случаю рождения 3-го и последующих детей (5 семей – 15 000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01.04.2018 года на учете в отделе социальной защиты населения состоят 53 многодетные семьи (190 ребенка), из них в течение отчетного периода  13 семьи пользовались мерами социальной поддержки по данному статусу (75 членов семьи). Израсходовано средств на предоставление мер социальной поддержки многодетным семьям 28,0  тыс. руб. Средний размер ежемесячной денежной компенсации — 718 рублей.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отчетный период 1174 человека получили меры социальной поддержки по оплате жилья и коммунальных услуг на сумму 2099,4  тыс.руб., ежемесячную денежную выплату – 527 граждан льготных категорий на сумму 783,4  тыс.руб.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отчетный период обращений на присвоение звания «Ветеран труда Новгородской области» не поступало. Звание «Ветеран труда» присвоено 9 жителям района. Всем им выданы удостоверения соответствующего образца.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истекший период за выплатой социального пособия на погребение лиц, подлежащих обязательному социальному страхованию, обратились         2 человека, выплачено 2 пособия на сумму 11,4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Отдел социальной защиты населения взаимодействует с государственным областным автономным учреждением «Многофункциональный центр предоставления государственных и муниципальных услуг» по приему документов по переданным полномочиям. Всего с начала года оказано 241  услуга, в том числе в электронном виде – 203, что составило 84,2% от общей численности предоставленных государственных услуг.</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Образование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На территории муниципального района основную образовательную программу  дошкольного  образования реализуют:  2 образовательные организации и 1 филиал. В данных организациях создано 203 места. Услугами дошкольного образования  охвачен  150 человек, что составляет 84,7 %. Контингент детей в возрасте от 1 до 7 лет в районе составляет  177 человек. Сохранен 100%  охват дошкольными образовательными   услугами детей  от 3 до 7 лет. Охват  дошкольным образованием детей от 1 года до 3 лет составляет 73,9 %. </w:t>
      </w:r>
      <w:r w:rsidRPr="00BF4DDD">
        <w:rPr>
          <w:rFonts w:ascii="Times New Roman" w:hAnsi="Times New Roman" w:cs="Times New Roman"/>
          <w:i/>
          <w:iCs/>
        </w:rPr>
        <w:t> </w:t>
      </w:r>
      <w:r w:rsidRPr="00BF4DDD">
        <w:rPr>
          <w:rFonts w:ascii="Times New Roman" w:hAnsi="Times New Roman" w:cs="Times New Roman"/>
        </w:rPr>
        <w:t>Обеспеченность детей  дошкольного возраста местами в дошкольных образовательных  организациях  составляет 1253 места на 1000 детей. Очереди на зачисление в ДОУ нет.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районе функционирует 1 общеобразовательная организация с филиалом с численностью  314 человек, в том числе,  обучается 34 ребенка  с ограниченными возможностями здоровья, 6 из них обучается на дому.  В МАОУ «СОШ с. Поддорье»  организовано обучение 9 детей — инвалидов. В замещающих семьях воспитывается 31 ребенок,  оставшийся без попечения родителей,  28  детей – в приемных семьях, 3 — под опекой (попечительством). В  базовой  школе  района организовано обучение учащихся с использованием технологий дистанционного обучения. Занятия проводятся с использованием школьной образовательной среды «Дневник. Ру».</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 обучающимися организовано 6 районных конкурсов: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конкурс-фестиваль   патриотической песни, художественного слова, народного  и хореографического творчества «Факел Победы», посвящённый освобождению с.Поддорье от немецко-фашистских захватчиков,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конкурс «Смотр строевой песни», посвящённый Дню защитника Отечества и освобождению с.Поддорье от немецко-фашистских захватчиков,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районный этап VII Всероссийского конкурса юных чтецов «Живая классика» — 2018,</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конкурс проектных работ обучающихся «Изобретая будущее»,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 конкурс детского художественного творчества «Созвездие» для детей-сирот и детей, оставшихся без попечения родителей, обучающихся в детских домах и домах-интернатах для сирот, обучающихся в организациях профессионального образования, для детей, воспитывающихся в приемных семьях,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конкурс агитбригад «За безопасность дорожного движения!».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Победители направлены для участия в областном этапе.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базе образовательных  организаций района реализуются дополнительные общеразвивающиеся программы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Занятия с обучающимися по дополнительному образованию проводят учителя образовательной организации. Все реализуемые программы имеют лицензию.</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292 человека в возрасте от 5 до 18 лет охвачены объединениями дополнительного образования, что составляет 80,7% от детей фактически проживающих в районе (362 чел.).</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Среднемесячная заработная плата в ДОУ составила – 25327,57 руб., работников школ – 25459,19  руб. Число учителей – 27, заработная плата – 27 026,07 руб. Целевые показатели выполнены на 100%.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Молодежь муниципального района приняла участие во Всероссийском конкурсе молодёжных проектов«Если бы я был Президентом», в конкурсе на выявление общественных лидеров на сельских территориях среди молодежи, в областном конкурсе рисунков и эссе «Россия-страна возможностей», областном фотоконкурсе «Я выбираю будущее 53» (победитель фотоконкурса- Никитина Ирина).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наша молодёжь активно участвовала: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 мероприятиях, приуроченных к 75-летию разгрома советскими войсками немецко-фашистских войск в Сталинградской битве;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 месячнике оборонно-массовой работы, посвящённом Дню защитника Отечества и освобождению с.Поддорье от немецко-фашистских захватчиков (районный конкурс «Смотр строевой песни», районный конкурс- фестиваль патриотической песни, танца, художественного слова, народного и хореографического творчества «Факел Победы», торжественное открытие памятного знака, посвящённого экипажу бомбардировщика Пе-2, сбитого 27 февраля 1943 года на территории Поддорского района, торжественное принятие обучающихся в ряды Юнармии и др.);</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 мероприятиях, приуроченных ко Дню космонавтики;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 мероприятиях, в рамках Общероссийской акции «Сообщи, где торгуют смертью»;</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в областной акции, посвящённой Всемирному дню здоровья «Всеобщий охват услугами здравоохранения для всех и везде».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 2015 года на территории муниципального района осуществляет деятельность муниципальное отделение ВОД «Волонтеры Победы», созданное с целью реализации молодёжных инициатив и вовлечения максимального количества молодёжи в волонтерскую практику, обеспечения эффекта сопричастности молодого поколения с великими историческими событиями. В 1 квартале 2018 года волонтеры участвовали в акциях: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«Победы нашей негасимый свет», «Блокадный хлеб», «Улыбка Гагарина». Волонтеры организовали и провели квест «Сталинградская битва» и  мероприятия по благоустройству памятных мест и воинских захоронений.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Культура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территории муниципального района полномочия в сфере культуры осуществляют 6 юридических лиц, в состав которых входят 14 культурно-досуговых учреждений, 10 библиотек, 1 музыкальная школа и 1 учреждение спорта. Из них статус автономного учреждения имеют 2 юридических лица, бюджетного учреждения – 4 юридических лица.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Основными источниками финансирования, как и в прежние годы, были бюджет муниципального района и собственные средства учреждений. Финансирование бюджетных средств на сферу культура за I квартал 2018 года составило 9 298,7 тысяч рублей, в сфере спорта 468,0 тыс. руб. Собственные средства составили за I квартал 2018 года  310,5 тыс.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xml:space="preserve">Одним из приоритетных направлений деятельности учреждений культуры района является развитие сферы досуга, обеспечение разнообразия культурно — досуговой деятельности, </w:t>
      </w:r>
      <w:r w:rsidRPr="00BF4DDD">
        <w:rPr>
          <w:rFonts w:ascii="Times New Roman" w:hAnsi="Times New Roman" w:cs="Times New Roman"/>
        </w:rPr>
        <w:lastRenderedPageBreak/>
        <w:t>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Информация о платной деятельности учреждения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 ПМСКО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Учреждение осуществлять следующие виды деятельности, в т.ч. приносящие доход, поскольку это служит достижению целей, ради которых оно создано: проведение вечеров отдыха,  утренников  для детей, дискотек, шоу программ; показ кино-видеофильмов; предоставление помещения и проведение свадебных торжеств и юбилеев; предоставление в прокат спортивного, игрового инвентаря, сценических костюмов, звукового и сценического оборудования; оказание  сценарно-методической помощи и иных услуг населению (согласно Устава) и иные виды услуг согласно приказа МБУ «ПМСКО» от 11.01.2016 года № 4 о/д.</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1 квартал 2018 года доход по платным услугам составил 99 660  руб. По сравнению с 2017 годом на  6 558 руб. больше (за 1 квартал 2017 года доход –  93 102 руб.).</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МАУ ДОД «Поддорская музыкальная школа»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I квартал 2018 года на расчётный счёт учреждения поступили денежные средства в сумме 73850 — 00 (Семьдесят три тысячи восемьсот пятьдесят рублей 00 копеек) от добровольных пожертвований родителей на содержание учебного процесса и концертной деятельности.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МБУК МПЦБС</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Заработано денег за 1 квартал  2018 года 27300   рублей. В сравнении с 1 кварталом 2017 года на 800 рублей больше.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МБУК ПРДНТ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платным услугам: за отчетный период доход учреждения от платных услуг составил  34750 (тридцать четыре тысячи семьсот пятьдесят) рублей. Из них: в январе – 8550, в феврале –15800, в марте – 10400. Аналогичный период 2017 г.  — 24690 (двадцать четыре тысячи шестьсот девяносто) рублей. Из них: январь – 7650, февраль –7910, март – 9130. Разница составляет плюс 10060 рублей.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МАУ РДК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За 1 квартал 2018 года доход от платных услуг составил  73000   рублей. По сравнению с 1 кварталом 2017 года на   21500 рублей  меньше (за 1 квартал 2017 года – 94500 рублей)</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Сравнительный анализ за 1 квартал 2018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 ПМСКО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было проведено: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культурно-массовых мероприятий – 619  (в 1 квартале 2017 года – 524)</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число посетителей — 6473 (в 1 квартале 2017 года – 6157)</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из них культурно-досуговых  мероприятий на платной основе – 449 (в 1 квартале 2017 года – 416)</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число посетителей платных культурно-досуговых мероприятий – 4128 (в 1 квартале 2016 года – 4142).</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МАУ ДОД «Поддорская музыкальная школа»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Учреждение в 2017 году руководствуется в своей деятельности теми же законами и положениям, что и в соответствующем периоде прошлого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Сумма добровольных пожертвований родителей на содержание учебного процесса увеличилась с 72120-00 в 2017 году до 75750-00 в 2018 году (на 5%). Это связано с увеличением суммы добровольного пожертвования на содержание учебного процессана начало учебного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Учреждение по-прежнему ведёт активную концертную и музыкально-просветительскую деятельность, участвуя в мероприятиях разного уровня.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Количество творческих коллективов в учреждении не изменилось.</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Преподаватели школы стали активнее участвовать в дистанционных конкурсах и фестивалях, пополняя своё портфолио в преддверии очередной аттестации педагогических кадров и повышая показатели эффективности.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Сумма денежных средств по приобретениям за I квартал уменьшилась с 58307-15 в 2017 году до 53260-80 в I квартале 2018 года (на 8 %) по причине оплаты за обслуживание официального сайта учреждения в декабре 2017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lastRenderedPageBreak/>
        <w:t>МБУ ЦФКС Лидер</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Общее количество занимающихся, по сравнению с аналогичным периодом  2017 года  увеличилось на 17 человек, открылась секция ОФП, проводятся занятия в тренажерном зале со взрослым населением района на платной основе. Количество проведенных мероприятий, остаются на том же уровне по сравнению с аналогичным периодом 2017 года. Участие в межрайонных соревнованиях и соревнованиях областного уровня так же остаются на том же уровне.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МБУК МПЦБС</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Количество читателей за 1 квартал  2018 года составило  1687              человека – это </w:t>
      </w:r>
      <w:r w:rsidRPr="00BF4DDD">
        <w:rPr>
          <w:rFonts w:ascii="Times New Roman" w:hAnsi="Times New Roman" w:cs="Times New Roman"/>
          <w:u w:val="single"/>
        </w:rPr>
        <w:t>на 384   читателя больше</w:t>
      </w:r>
      <w:r w:rsidRPr="00BF4DDD">
        <w:rPr>
          <w:rFonts w:ascii="Times New Roman" w:hAnsi="Times New Roman" w:cs="Times New Roman"/>
        </w:rPr>
        <w:t> в сравнении с 1 кварталом  2017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Количество посещений за 1 квартал  2018 года –    7680,  это </w:t>
      </w:r>
      <w:r w:rsidRPr="00BF4DDD">
        <w:rPr>
          <w:rFonts w:ascii="Times New Roman" w:hAnsi="Times New Roman" w:cs="Times New Roman"/>
          <w:u w:val="single"/>
        </w:rPr>
        <w:t>на 1358     посещений больше</w:t>
      </w:r>
      <w:r w:rsidRPr="00BF4DDD">
        <w:rPr>
          <w:rFonts w:ascii="Times New Roman" w:hAnsi="Times New Roman" w:cs="Times New Roman"/>
        </w:rPr>
        <w:t>,  чем за 1 квартал  2017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Массовых мероприятий  за 1 квартал  2018 года –    141   , что </w:t>
      </w:r>
      <w:r w:rsidRPr="00BF4DDD">
        <w:rPr>
          <w:rFonts w:ascii="Times New Roman" w:hAnsi="Times New Roman" w:cs="Times New Roman"/>
          <w:u w:val="single"/>
        </w:rPr>
        <w:t>на 23    мероприятий больше  </w:t>
      </w:r>
      <w:r w:rsidRPr="00BF4DDD">
        <w:rPr>
          <w:rFonts w:ascii="Times New Roman" w:hAnsi="Times New Roman" w:cs="Times New Roman"/>
        </w:rPr>
        <w:t>чем за 1 квартал    2017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Посещения на массовых мероприятиях за 1 квартал  2017 года составили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2085   , что </w:t>
      </w:r>
      <w:r w:rsidRPr="00BF4DDD">
        <w:rPr>
          <w:rFonts w:ascii="Times New Roman" w:hAnsi="Times New Roman" w:cs="Times New Roman"/>
          <w:u w:val="single"/>
        </w:rPr>
        <w:t>на 568  посещений больше</w:t>
      </w:r>
      <w:r w:rsidRPr="00BF4DDD">
        <w:rPr>
          <w:rFonts w:ascii="Times New Roman" w:hAnsi="Times New Roman" w:cs="Times New Roman"/>
        </w:rPr>
        <w:t> чем за 1 квартал 2017 года.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МБУК ПРДНТ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По мероприятиям: За 1 квартал 2017 года проведено 40 мероприятий с количеством посещений – 916, за аналогичный период 2017 года количество мероприятий – 32, количество посетителей – 525. Разница в количестве мероприятий – плюс 8, разница в количестве посетителей – плюс 391 человек. Увеличение посетителей обусловлено работой на таких массовых мероприятиях как «Масленица» на центральной площади села и ярмарка-распродажа на избирательном территориальном участке  в день выборов Президента РФ 18 марта 2018г. Так же бесплатное проведение мастер-классов по различным видам ДПИ со школьниками.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МАУ РДК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В 1 квартале 2018 года было проведено:</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культурно-массовых мероприятий – 92  (в 1 квартале 2017 года – 104)</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число посетителей — 3700 (в 1 квартале 2017 года – 4200)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из них культурно-досуговых  мероприятий на платной основе – 48 (в 1 квартале 2017 года – 58)</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 число посетителей платных культурно-досуговых мероприятий – 3400 (в 1 квартале 2017 года – 3500).</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Физическая культура и спорт</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Предметом деятельности муниципального бюджетного учреждения Поддорского муниципального района «Центр физической культуры и спорта «Лидер» является физкультурно-оздоровительная, спортивная и воспитательная работа среди детей, подростков и учащейся молодежи, направленная на укрепление здоровья, совершенствование личности, формирование здорового образа жизни, развитие физических, интеллектуальных способностей, нравственного и эстетического воспитания.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Информация о секциях по видам спорта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На 01.04.2018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«Рукопашный бой» 24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«Пауэрлифтинг» 12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«Атлетическая гимнастика» 15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Шахматы» 40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«Волейбол» 15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Секция ОФП – 14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2 секции «Мини-футбол» (старшая, младшая) 30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Группа «Здоровье» ветераны 15 чел;</w:t>
      </w:r>
    </w:p>
    <w:p w:rsidR="00BF4DDD" w:rsidRPr="00BF4DDD" w:rsidRDefault="00BF4DDD" w:rsidP="00BF4DDD">
      <w:pPr>
        <w:numPr>
          <w:ilvl w:val="0"/>
          <w:numId w:val="5"/>
        </w:numPr>
        <w:spacing w:after="0"/>
        <w:rPr>
          <w:rFonts w:ascii="Times New Roman" w:hAnsi="Times New Roman" w:cs="Times New Roman"/>
        </w:rPr>
      </w:pPr>
      <w:r w:rsidRPr="00BF4DDD">
        <w:rPr>
          <w:rFonts w:ascii="Times New Roman" w:hAnsi="Times New Roman" w:cs="Times New Roman"/>
        </w:rPr>
        <w:t>Группа взрослого населения 7 человек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Общее число занимающихся – 172  человек. Из них 130  – дети, 42 человека– взрослые.</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Информация об основных мероприятиях за 2018 год</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lastRenderedPageBreak/>
        <w:t> </w:t>
      </w:r>
      <w:r w:rsidRPr="00BF4DDD">
        <w:rPr>
          <w:rFonts w:ascii="Times New Roman" w:hAnsi="Times New Roman" w:cs="Times New Roman"/>
        </w:rPr>
        <w:t>02.02.2018 – Проведение лыжных соревнований, приуроченных ко Дню зимних видов спорта (22 участника);</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09.02.2018 – Проведение Всероссийской массовой лыжной гонки «Лыжня России – 2018» (65 участников);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13.02.2018 – Проведение физкультурно-развлекательного мероприятия «Зимние забавы» среди детей дошкольного возраста, посвященного Всероссийскому дню зимних видов спорта (15 участников);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14.02.2018 – Проведение физкультурно-развлекательного мероприятия «Зимние забавы» среди обучающихся начальной школы, посвященного Всероссийскому дню зимних видов спорта (19 участников);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12-20.03.2018 – Проведение I этапа зимнего фестиваля Всероссийского физкультурно-спортивного комплекса «готов к труду и обороне» (ГТО) на территории Поддорского муниципального района. (101 участник);</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12.03.2018 -30.04.2018 – Проведение декады ГТО «Выпускник – 2018» на территории Поддорского муниципального района (14 участников);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22.03.2018 – Участие в Зимнем фестивале Всероссийского физкультурно-спортивного комплекса «Готов к труду и обороне» (ГТО) среди всех категорий населения на территории Новгородской области (8 участников);</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Проведено 6 мероприятий, приняли участие в 1 мероприятии областного уровня</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b/>
          <w:bCs/>
        </w:rPr>
        <w:t>— Информация о победах</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3 место в личном первенстве регионального этапа фестиваля ВФСК ГТО среди всех категорий населения на территории Новгородской области в 8 возрастной ступени;</w:t>
      </w:r>
    </w:p>
    <w:p w:rsidR="00BF4DDD" w:rsidRPr="00BF4DDD" w:rsidRDefault="00BF4DDD" w:rsidP="00BF4DDD">
      <w:pPr>
        <w:spacing w:after="0"/>
        <w:rPr>
          <w:rFonts w:ascii="Times New Roman" w:hAnsi="Times New Roman" w:cs="Times New Roman"/>
        </w:rPr>
      </w:pPr>
      <w:r w:rsidRPr="00BF4DDD">
        <w:rPr>
          <w:rFonts w:ascii="Times New Roman" w:hAnsi="Times New Roman" w:cs="Times New Roman"/>
        </w:rPr>
        <w:t>3 место в личном первенстве регионального этапа фестиваля ВФСК ГТО среди всех категорий населения на территории Новгородской области в 7 возрастной ступени.</w:t>
      </w:r>
    </w:p>
    <w:bookmarkEnd w:id="0"/>
    <w:p w:rsidR="003F7701" w:rsidRPr="00BF4DDD" w:rsidRDefault="003F7701" w:rsidP="00BF4DDD">
      <w:pPr>
        <w:spacing w:after="0"/>
        <w:rPr>
          <w:rFonts w:ascii="Times New Roman" w:hAnsi="Times New Roman" w:cs="Times New Roman"/>
        </w:rPr>
      </w:pPr>
    </w:p>
    <w:sectPr w:rsidR="003F7701" w:rsidRPr="00BF4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A93"/>
    <w:multiLevelType w:val="multilevel"/>
    <w:tmpl w:val="0C86B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02B03"/>
    <w:multiLevelType w:val="multilevel"/>
    <w:tmpl w:val="97F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555EA"/>
    <w:multiLevelType w:val="multilevel"/>
    <w:tmpl w:val="6784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E27DD"/>
    <w:multiLevelType w:val="multilevel"/>
    <w:tmpl w:val="293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054B6B"/>
    <w:multiLevelType w:val="multilevel"/>
    <w:tmpl w:val="0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8"/>
    <w:rsid w:val="00283F27"/>
    <w:rsid w:val="003F7701"/>
    <w:rsid w:val="0047353F"/>
    <w:rsid w:val="00606206"/>
    <w:rsid w:val="00BB245C"/>
    <w:rsid w:val="00BF4DDD"/>
    <w:rsid w:val="00CC4AC8"/>
    <w:rsid w:val="00E7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771-626E-4D51-A18D-A06D11C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53F"/>
    <w:rPr>
      <w:color w:val="0000FF"/>
      <w:u w:val="single"/>
    </w:rPr>
  </w:style>
  <w:style w:type="character" w:styleId="a5">
    <w:name w:val="Strong"/>
    <w:basedOn w:val="a0"/>
    <w:uiPriority w:val="22"/>
    <w:qFormat/>
    <w:rsid w:val="00BB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20985">
      <w:bodyDiv w:val="1"/>
      <w:marLeft w:val="0"/>
      <w:marRight w:val="0"/>
      <w:marTop w:val="0"/>
      <w:marBottom w:val="0"/>
      <w:divBdr>
        <w:top w:val="none" w:sz="0" w:space="0" w:color="auto"/>
        <w:left w:val="none" w:sz="0" w:space="0" w:color="auto"/>
        <w:bottom w:val="none" w:sz="0" w:space="0" w:color="auto"/>
        <w:right w:val="none" w:sz="0" w:space="0" w:color="auto"/>
      </w:divBdr>
    </w:div>
    <w:div w:id="697773633">
      <w:bodyDiv w:val="1"/>
      <w:marLeft w:val="0"/>
      <w:marRight w:val="0"/>
      <w:marTop w:val="0"/>
      <w:marBottom w:val="0"/>
      <w:divBdr>
        <w:top w:val="none" w:sz="0" w:space="0" w:color="auto"/>
        <w:left w:val="none" w:sz="0" w:space="0" w:color="auto"/>
        <w:bottom w:val="none" w:sz="0" w:space="0" w:color="auto"/>
        <w:right w:val="none" w:sz="0" w:space="0" w:color="auto"/>
      </w:divBdr>
    </w:div>
    <w:div w:id="846946385">
      <w:bodyDiv w:val="1"/>
      <w:marLeft w:val="0"/>
      <w:marRight w:val="0"/>
      <w:marTop w:val="0"/>
      <w:marBottom w:val="0"/>
      <w:divBdr>
        <w:top w:val="none" w:sz="0" w:space="0" w:color="auto"/>
        <w:left w:val="none" w:sz="0" w:space="0" w:color="auto"/>
        <w:bottom w:val="none" w:sz="0" w:space="0" w:color="auto"/>
        <w:right w:val="none" w:sz="0" w:space="0" w:color="auto"/>
      </w:divBdr>
    </w:div>
    <w:div w:id="854881681">
      <w:bodyDiv w:val="1"/>
      <w:marLeft w:val="0"/>
      <w:marRight w:val="0"/>
      <w:marTop w:val="0"/>
      <w:marBottom w:val="0"/>
      <w:divBdr>
        <w:top w:val="none" w:sz="0" w:space="0" w:color="auto"/>
        <w:left w:val="none" w:sz="0" w:space="0" w:color="auto"/>
        <w:bottom w:val="none" w:sz="0" w:space="0" w:color="auto"/>
        <w:right w:val="none" w:sz="0" w:space="0" w:color="auto"/>
      </w:divBdr>
    </w:div>
    <w:div w:id="1710647044">
      <w:bodyDiv w:val="1"/>
      <w:marLeft w:val="0"/>
      <w:marRight w:val="0"/>
      <w:marTop w:val="0"/>
      <w:marBottom w:val="0"/>
      <w:divBdr>
        <w:top w:val="none" w:sz="0" w:space="0" w:color="auto"/>
        <w:left w:val="none" w:sz="0" w:space="0" w:color="auto"/>
        <w:bottom w:val="none" w:sz="0" w:space="0" w:color="auto"/>
        <w:right w:val="none" w:sz="0" w:space="0" w:color="auto"/>
      </w:divBdr>
    </w:div>
    <w:div w:id="1916553340">
      <w:bodyDiv w:val="1"/>
      <w:marLeft w:val="0"/>
      <w:marRight w:val="0"/>
      <w:marTop w:val="0"/>
      <w:marBottom w:val="0"/>
      <w:divBdr>
        <w:top w:val="none" w:sz="0" w:space="0" w:color="auto"/>
        <w:left w:val="none" w:sz="0" w:space="0" w:color="auto"/>
        <w:bottom w:val="none" w:sz="0" w:space="0" w:color="auto"/>
        <w:right w:val="none" w:sz="0" w:space="0" w:color="auto"/>
      </w:divBdr>
    </w:div>
    <w:div w:id="1961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5478</Words>
  <Characters>31229</Characters>
  <Application>Microsoft Office Word</Application>
  <DocSecurity>0</DocSecurity>
  <Lines>260</Lines>
  <Paragraphs>73</Paragraphs>
  <ScaleCrop>false</ScaleCrop>
  <Company/>
  <LinksUpToDate>false</LinksUpToDate>
  <CharactersWithSpaces>36634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13</cp:revision>
  <dcterms:created xsi:type="dcterms:W3CDTF">2023-05-12T06:15:00Z</dcterms:created>
  <dcterms:modified xsi:type="dcterms:W3CDTF">2023-05-12T07:41:00Z</dcterms:modified>
</cp:coreProperties>
</file>